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80BB" w14:textId="600561B2" w:rsidR="000B7C2C" w:rsidRPr="000B7C2C" w:rsidRDefault="00063557" w:rsidP="000B7C2C">
      <w:pPr>
        <w:jc w:val="right"/>
        <w:rPr>
          <w:rFonts w:ascii="Century Gothic" w:hAnsi="Century Gothic"/>
        </w:rPr>
      </w:pPr>
      <w:r>
        <w:rPr>
          <w:rFonts w:ascii="Century Gothic" w:hAnsi="Century Gothic"/>
        </w:rPr>
        <w:t>Ud</w:t>
      </w:r>
      <w:r>
        <w:rPr>
          <w:rFonts w:ascii="Century Gothic" w:hAnsi="Century Gothic"/>
        </w:rPr>
        <w:t>sendt til rådsmøde – 29</w:t>
      </w:r>
      <w:r w:rsidR="000B7C2C" w:rsidRPr="000B7C2C">
        <w:rPr>
          <w:rFonts w:ascii="Century Gothic" w:hAnsi="Century Gothic"/>
        </w:rPr>
        <w:t>. september 2021</w:t>
      </w:r>
    </w:p>
    <w:p w14:paraId="2138574F" w14:textId="3F18A12C" w:rsidR="000B7C2C" w:rsidRPr="000B7C2C" w:rsidRDefault="000B7C2C" w:rsidP="000B7C2C">
      <w:pPr>
        <w:pStyle w:val="Heading1"/>
        <w:rPr>
          <w:rFonts w:ascii="Century Gothic" w:hAnsi="Century Gothic" w:cs="Calibri"/>
          <w:color w:val="276E8B"/>
        </w:rPr>
      </w:pPr>
      <w:r w:rsidRPr="000B7C2C">
        <w:rPr>
          <w:rFonts w:ascii="Century Gothic" w:hAnsi="Century Gothic" w:cs="Calibri"/>
          <w:color w:val="276E8B"/>
        </w:rPr>
        <w:t xml:space="preserve">Anbefalinger til </w:t>
      </w:r>
      <w:r>
        <w:rPr>
          <w:rFonts w:ascii="Century Gothic" w:hAnsi="Century Gothic" w:cs="Calibri"/>
          <w:color w:val="276E8B"/>
        </w:rPr>
        <w:t xml:space="preserve">Renovation </w:t>
      </w:r>
      <w:proofErr w:type="spellStart"/>
      <w:r>
        <w:rPr>
          <w:rFonts w:ascii="Century Gothic" w:hAnsi="Century Gothic" w:cs="Calibri"/>
          <w:color w:val="276E8B"/>
        </w:rPr>
        <w:t>Wave</w:t>
      </w:r>
      <w:proofErr w:type="spellEnd"/>
      <w:r>
        <w:rPr>
          <w:rFonts w:ascii="Century Gothic" w:hAnsi="Century Gothic" w:cs="Calibri"/>
          <w:color w:val="276E8B"/>
        </w:rPr>
        <w:t>-initiativer</w:t>
      </w:r>
      <w:r w:rsidRPr="000B7C2C">
        <w:rPr>
          <w:rFonts w:ascii="Century Gothic" w:hAnsi="Century Gothic" w:cs="Calibri"/>
          <w:color w:val="276E8B"/>
        </w:rPr>
        <w:t xml:space="preserve"> </w:t>
      </w:r>
    </w:p>
    <w:p w14:paraId="097A2F38" w14:textId="77777777" w:rsidR="000B7C2C" w:rsidRPr="000B7C2C" w:rsidRDefault="000B7C2C" w:rsidP="000B7C2C">
      <w:pPr>
        <w:rPr>
          <w:rFonts w:ascii="Century Gothic" w:hAnsi="Century Gothic"/>
          <w:color w:val="276E8B"/>
        </w:rPr>
      </w:pPr>
    </w:p>
    <w:p w14:paraId="2F722FB1" w14:textId="77777777" w:rsidR="000B7C2C" w:rsidRPr="000B7C2C" w:rsidRDefault="000B7C2C" w:rsidP="000B7C2C">
      <w:pPr>
        <w:spacing w:after="120"/>
        <w:rPr>
          <w:rFonts w:ascii="Century Gothic" w:hAnsi="Century Gothic"/>
          <w:color w:val="276E8B"/>
        </w:rPr>
      </w:pPr>
      <w:r w:rsidRPr="000B7C2C">
        <w:rPr>
          <w:rFonts w:ascii="Century Gothic" w:hAnsi="Century Gothic"/>
          <w:b/>
          <w:bCs/>
          <w:color w:val="276E8B"/>
        </w:rPr>
        <w:t>R</w:t>
      </w:r>
      <w:r w:rsidRPr="000B7C2C">
        <w:rPr>
          <w:rFonts w:ascii="Century Gothic" w:hAnsi="Century Gothic"/>
          <w:color w:val="276E8B"/>
        </w:rPr>
        <w:t xml:space="preserve">ådet for </w:t>
      </w:r>
      <w:r w:rsidRPr="000B7C2C">
        <w:rPr>
          <w:rFonts w:ascii="Century Gothic" w:hAnsi="Century Gothic"/>
          <w:b/>
          <w:bCs/>
          <w:color w:val="276E8B"/>
        </w:rPr>
        <w:t>E</w:t>
      </w:r>
      <w:r w:rsidRPr="000B7C2C">
        <w:rPr>
          <w:rFonts w:ascii="Century Gothic" w:hAnsi="Century Gothic"/>
          <w:color w:val="276E8B"/>
        </w:rPr>
        <w:t xml:space="preserve">nergieffektiv </w:t>
      </w:r>
      <w:r w:rsidRPr="000B7C2C">
        <w:rPr>
          <w:rFonts w:ascii="Century Gothic" w:hAnsi="Century Gothic"/>
          <w:b/>
          <w:bCs/>
          <w:color w:val="276E8B"/>
        </w:rPr>
        <w:t>O</w:t>
      </w:r>
      <w:r w:rsidRPr="000B7C2C">
        <w:rPr>
          <w:rFonts w:ascii="Century Gothic" w:hAnsi="Century Gothic"/>
          <w:color w:val="276E8B"/>
        </w:rPr>
        <w:t xml:space="preserve">mstilling er et uafhængigt råd nedsat af klima-, energi- og forsyningsministeren til at rådgive ministeren i forbindelse med tilrettelæggelsen og gennemførelsen af den samlede energispareindsats. </w:t>
      </w:r>
    </w:p>
    <w:p w14:paraId="4A9C638E" w14:textId="77777777" w:rsidR="000B7C2C" w:rsidRPr="000B7C2C" w:rsidRDefault="000B7C2C" w:rsidP="000B7C2C">
      <w:pPr>
        <w:rPr>
          <w:rFonts w:ascii="Century Gothic" w:hAnsi="Century Gothic"/>
          <w:color w:val="276E8B"/>
        </w:rPr>
      </w:pPr>
      <w:r w:rsidRPr="000B7C2C">
        <w:rPr>
          <w:rFonts w:ascii="Century Gothic" w:hAnsi="Century Gothic"/>
          <w:color w:val="276E8B"/>
        </w:rPr>
        <w:t xml:space="preserve">Rådets medlemmer er Aalborg Universitet, BAT-Kartellet, CONCITO, Danske Arkitektvirksomheder, Dansk Energi, Dansk Erhverv, Dansk Fjernvarme, Dansk Industri, De Frie Energiselskaber, Drivkraft Danmark, </w:t>
      </w:r>
      <w:proofErr w:type="spellStart"/>
      <w:r w:rsidRPr="000B7C2C">
        <w:rPr>
          <w:rFonts w:ascii="Century Gothic" w:hAnsi="Century Gothic"/>
          <w:color w:val="276E8B"/>
        </w:rPr>
        <w:t>EjendomDanmark</w:t>
      </w:r>
      <w:proofErr w:type="spellEnd"/>
      <w:r w:rsidRPr="000B7C2C">
        <w:rPr>
          <w:rFonts w:ascii="Century Gothic" w:hAnsi="Century Gothic"/>
          <w:color w:val="276E8B"/>
        </w:rPr>
        <w:t xml:space="preserve">, Energiforum Danmark, Fagbevægelsens Hovedorganisation, Forbrugerrådet Tænk, Foreningen af Rådgivende Ingeniører, KL, Landbrug &amp; Fødevarer, Roskilde Universitet, Rådet for Grøn Omstilling, SMV Danmark, Synergi, TEKNIQ Arbejdsgiverne, </w:t>
      </w:r>
      <w:proofErr w:type="spellStart"/>
      <w:r w:rsidRPr="000B7C2C">
        <w:rPr>
          <w:rFonts w:ascii="Century Gothic" w:hAnsi="Century Gothic"/>
          <w:color w:val="276E8B"/>
        </w:rPr>
        <w:t>VedvarendeEnergi</w:t>
      </w:r>
      <w:proofErr w:type="spellEnd"/>
      <w:r w:rsidRPr="000B7C2C">
        <w:rPr>
          <w:rFonts w:ascii="Century Gothic" w:hAnsi="Century Gothic"/>
          <w:color w:val="276E8B"/>
        </w:rPr>
        <w:t xml:space="preserve"> og VELTEK.</w:t>
      </w:r>
    </w:p>
    <w:p w14:paraId="6CA418A6" w14:textId="77777777" w:rsidR="000B7C2C" w:rsidRPr="000B7C2C" w:rsidRDefault="000B7C2C" w:rsidP="000B7C2C">
      <w:pPr>
        <w:pStyle w:val="Heading1"/>
        <w:rPr>
          <w:rFonts w:ascii="Century Gothic" w:hAnsi="Century Gothic"/>
          <w:color w:val="276E8B"/>
          <w:sz w:val="24"/>
          <w:szCs w:val="24"/>
        </w:rPr>
      </w:pPr>
      <w:r w:rsidRPr="000B7C2C">
        <w:rPr>
          <w:rFonts w:ascii="Century Gothic" w:hAnsi="Century Gothic"/>
          <w:color w:val="276E8B"/>
          <w:sz w:val="24"/>
          <w:szCs w:val="24"/>
        </w:rPr>
        <w:t>Resumé</w:t>
      </w:r>
    </w:p>
    <w:p w14:paraId="24BFD408" w14:textId="77777777" w:rsidR="000B7C2C" w:rsidRPr="000B7C2C" w:rsidRDefault="000B7C2C" w:rsidP="000B7C2C">
      <w:pPr>
        <w:spacing w:after="120" w:line="276" w:lineRule="auto"/>
        <w:rPr>
          <w:rFonts w:ascii="Century Gothic" w:hAnsi="Century Gothic" w:cs="Calibri"/>
          <w:i/>
          <w:iCs/>
        </w:rPr>
      </w:pPr>
      <w:r w:rsidRPr="000B7C2C">
        <w:rPr>
          <w:rFonts w:ascii="Century Gothic" w:hAnsi="Century Gothic" w:cs="Calibri"/>
          <w:i/>
          <w:iCs/>
        </w:rPr>
        <w:t>Rådet for Energieffektiv Omstilling støtter op om EU-kommissionens</w:t>
      </w:r>
      <w:r w:rsidRPr="000B7C2C">
        <w:rPr>
          <w:rFonts w:ascii="Century Gothic" w:hAnsi="Century Gothic"/>
        </w:rPr>
        <w:t xml:space="preserve"> </w:t>
      </w:r>
      <w:r w:rsidRPr="000B7C2C">
        <w:rPr>
          <w:rFonts w:ascii="Century Gothic" w:hAnsi="Century Gothic" w:cs="Calibri"/>
          <w:i/>
          <w:iCs/>
        </w:rPr>
        <w:t xml:space="preserve">Renovation </w:t>
      </w:r>
      <w:proofErr w:type="spellStart"/>
      <w:r w:rsidRPr="000B7C2C">
        <w:rPr>
          <w:rFonts w:ascii="Century Gothic" w:hAnsi="Century Gothic" w:cs="Calibri"/>
          <w:i/>
          <w:iCs/>
        </w:rPr>
        <w:t>Wave</w:t>
      </w:r>
      <w:proofErr w:type="spellEnd"/>
      <w:r w:rsidRPr="000B7C2C">
        <w:rPr>
          <w:rFonts w:ascii="Century Gothic" w:hAnsi="Century Gothic" w:cs="Calibri"/>
          <w:i/>
          <w:iCs/>
        </w:rPr>
        <w:t xml:space="preserve">-strategi af 14. oktober 2020, som anerkender energirenovering af den europæiske bygningsmasse som et væsentligt bidrag til at opnå det europæiske mål om klimaneutralitet i 2050. </w:t>
      </w:r>
    </w:p>
    <w:p w14:paraId="6E35FF5C" w14:textId="5A9437B5" w:rsidR="000B7C2C" w:rsidRPr="000B7C2C" w:rsidRDefault="000B7C2C" w:rsidP="000B7C2C">
      <w:pPr>
        <w:tabs>
          <w:tab w:val="left" w:pos="851"/>
          <w:tab w:val="left" w:pos="1701"/>
          <w:tab w:val="left" w:pos="2552"/>
          <w:tab w:val="left" w:pos="3402"/>
          <w:tab w:val="left" w:pos="4253"/>
          <w:tab w:val="left" w:pos="5103"/>
          <w:tab w:val="left" w:pos="5954"/>
          <w:tab w:val="left" w:pos="6804"/>
          <w:tab w:val="left" w:pos="7655"/>
        </w:tabs>
        <w:spacing w:line="270" w:lineRule="atLeast"/>
        <w:rPr>
          <w:rFonts w:ascii="Century Gothic" w:hAnsi="Century Gothic" w:cs="Calibri"/>
          <w:i/>
          <w:iCs/>
        </w:rPr>
      </w:pPr>
      <w:r w:rsidRPr="000B7C2C">
        <w:rPr>
          <w:rFonts w:ascii="Century Gothic" w:hAnsi="Century Gothic" w:cs="Calibri"/>
          <w:i/>
          <w:iCs/>
        </w:rPr>
        <w:t xml:space="preserve">Anbefalingerne skal ses i sammenhæng med rådets anbefalinger af 24. juni 2021 </w:t>
      </w:r>
      <w:r w:rsidR="00817C95">
        <w:rPr>
          <w:rFonts w:ascii="Century Gothic" w:hAnsi="Century Gothic" w:cs="Calibri"/>
          <w:i/>
          <w:iCs/>
        </w:rPr>
        <w:t xml:space="preserve">(daværende Energisparerådet) </w:t>
      </w:r>
      <w:r w:rsidRPr="000B7C2C">
        <w:rPr>
          <w:rFonts w:ascii="Century Gothic" w:hAnsi="Century Gothic" w:cs="Calibri"/>
          <w:i/>
          <w:iCs/>
        </w:rPr>
        <w:t>til revision af Energieffektivitetsdirektivet (EED) og Bygningsdirektivet (EPBD).</w:t>
      </w:r>
    </w:p>
    <w:p w14:paraId="4CECE6AD" w14:textId="4A65F996" w:rsidR="000B7C2C" w:rsidRPr="000B7C2C" w:rsidRDefault="000B7C2C" w:rsidP="000B7C2C">
      <w:pPr>
        <w:pStyle w:val="Heading1"/>
        <w:numPr>
          <w:ilvl w:val="0"/>
          <w:numId w:val="3"/>
        </w:numPr>
        <w:tabs>
          <w:tab w:val="num" w:pos="360"/>
        </w:tabs>
        <w:ind w:left="0" w:firstLine="0"/>
        <w:rPr>
          <w:rFonts w:ascii="Century Gothic" w:hAnsi="Century Gothic"/>
          <w:color w:val="276E8B"/>
          <w:sz w:val="24"/>
          <w:szCs w:val="24"/>
        </w:rPr>
      </w:pPr>
      <w:r>
        <w:rPr>
          <w:rFonts w:ascii="Century Gothic" w:hAnsi="Century Gothic"/>
          <w:color w:val="276E8B"/>
          <w:sz w:val="24"/>
          <w:szCs w:val="24"/>
        </w:rPr>
        <w:t>Indledning</w:t>
      </w:r>
    </w:p>
    <w:p w14:paraId="7F30933B" w14:textId="08F4856D" w:rsidR="000B7C2C" w:rsidRPr="000B7C2C" w:rsidRDefault="000B7C2C" w:rsidP="000B7C2C">
      <w:pPr>
        <w:pStyle w:val="ListParagraph"/>
        <w:numPr>
          <w:ilvl w:val="1"/>
          <w:numId w:val="3"/>
        </w:numPr>
        <w:ind w:left="788" w:hanging="431"/>
        <w:contextualSpacing w:val="0"/>
        <w:rPr>
          <w:rFonts w:ascii="Century Gothic" w:hAnsi="Century Gothic"/>
        </w:rPr>
      </w:pPr>
      <w:r w:rsidRPr="000B7C2C">
        <w:rPr>
          <w:rFonts w:ascii="Century Gothic" w:hAnsi="Century Gothic"/>
        </w:rPr>
        <w:t xml:space="preserve">EU-Kommissionen peger i Renovation </w:t>
      </w:r>
      <w:proofErr w:type="spellStart"/>
      <w:r w:rsidRPr="000B7C2C">
        <w:rPr>
          <w:rFonts w:ascii="Century Gothic" w:hAnsi="Century Gothic"/>
        </w:rPr>
        <w:t>Wave</w:t>
      </w:r>
      <w:proofErr w:type="spellEnd"/>
      <w:r w:rsidRPr="000B7C2C">
        <w:rPr>
          <w:rFonts w:ascii="Century Gothic" w:hAnsi="Century Gothic"/>
        </w:rPr>
        <w:t xml:space="preserve"> på, at bygningsmassen i Europa er forældet i forhold til bygningernes energieffektivitet og energiforbrug. Kommissionen ønsker derfor, at den europæiske bygningsmasse energirenoveres i forøget tempo, således at renoveringsraten fordobles</w:t>
      </w:r>
      <w:r w:rsidR="00BB4AB3">
        <w:rPr>
          <w:rFonts w:ascii="Century Gothic" w:hAnsi="Century Gothic"/>
        </w:rPr>
        <w:t>,</w:t>
      </w:r>
      <w:r w:rsidRPr="000B7C2C">
        <w:rPr>
          <w:rFonts w:ascii="Century Gothic" w:hAnsi="Century Gothic"/>
        </w:rPr>
        <w:t xml:space="preserve"> og at der i 2030 er energirenoveret 35 millioner bygningsenheder i EU. Hertil skal der anvendes 275 mia. Euro årligt. Den øgede renoveringsprocent og omfanget af renoveringerne skal opretholdes efter 2030 for at opnå den ønskede klimaneutralitet i energiforbruget i 2050.</w:t>
      </w:r>
    </w:p>
    <w:p w14:paraId="058D3A38" w14:textId="11473D40" w:rsidR="000B7C2C" w:rsidRPr="006E40E1" w:rsidRDefault="000B7C2C" w:rsidP="000B7C2C">
      <w:pPr>
        <w:pStyle w:val="ListParagraph"/>
        <w:numPr>
          <w:ilvl w:val="1"/>
          <w:numId w:val="3"/>
        </w:numPr>
        <w:ind w:left="788" w:hanging="431"/>
        <w:contextualSpacing w:val="0"/>
        <w:rPr>
          <w:rFonts w:ascii="Century Gothic" w:hAnsi="Century Gothic"/>
        </w:rPr>
      </w:pPr>
      <w:r w:rsidRPr="000B7C2C">
        <w:rPr>
          <w:rFonts w:ascii="Century Gothic" w:hAnsi="Century Gothic"/>
        </w:rPr>
        <w:t>REO ser allerede i dag konkrete danske tiltag</w:t>
      </w:r>
      <w:r w:rsidR="00A23F1D">
        <w:rPr>
          <w:rFonts w:ascii="Century Gothic" w:hAnsi="Century Gothic"/>
        </w:rPr>
        <w:t xml:space="preserve"> og forslag til tiltag</w:t>
      </w:r>
      <w:r w:rsidRPr="000B7C2C">
        <w:rPr>
          <w:rFonts w:ascii="Century Gothic" w:hAnsi="Century Gothic"/>
        </w:rPr>
        <w:t>, som understøtter Kommissionens strategi. Det drejer sig bl</w:t>
      </w:r>
      <w:r w:rsidR="00585C01">
        <w:rPr>
          <w:rFonts w:ascii="Century Gothic" w:hAnsi="Century Gothic"/>
        </w:rPr>
        <w:t>andt andet</w:t>
      </w:r>
      <w:r w:rsidRPr="000B7C2C">
        <w:rPr>
          <w:rFonts w:ascii="Century Gothic" w:hAnsi="Century Gothic"/>
        </w:rPr>
        <w:t xml:space="preserve"> </w:t>
      </w:r>
      <w:r w:rsidRPr="006E40E1">
        <w:rPr>
          <w:rFonts w:ascii="Century Gothic" w:hAnsi="Century Gothic"/>
        </w:rPr>
        <w:t xml:space="preserve">om </w:t>
      </w:r>
      <w:r w:rsidR="008C0145" w:rsidRPr="00971DFB">
        <w:rPr>
          <w:rFonts w:ascii="Century Gothic" w:hAnsi="Century Gothic"/>
        </w:rPr>
        <w:t xml:space="preserve">klimaaftalen for energi og industri fra juni 2020, </w:t>
      </w:r>
      <w:r w:rsidRPr="00971DFB">
        <w:rPr>
          <w:rFonts w:ascii="Century Gothic" w:hAnsi="Century Gothic"/>
        </w:rPr>
        <w:t>anbefalingerne til regeringen fra klimapartnerskabe</w:t>
      </w:r>
      <w:r w:rsidR="00642ACC" w:rsidRPr="00096BCB">
        <w:rPr>
          <w:rFonts w:ascii="Century Gothic" w:hAnsi="Century Gothic"/>
        </w:rPr>
        <w:t xml:space="preserve">rne </w:t>
      </w:r>
      <w:r w:rsidRPr="006E40E1">
        <w:rPr>
          <w:rFonts w:ascii="Century Gothic" w:hAnsi="Century Gothic"/>
        </w:rPr>
        <w:t xml:space="preserve">for </w:t>
      </w:r>
      <w:r w:rsidR="00642ACC" w:rsidRPr="006E40E1">
        <w:rPr>
          <w:rFonts w:ascii="Century Gothic" w:hAnsi="Century Gothic"/>
        </w:rPr>
        <w:t>hhv. B</w:t>
      </w:r>
      <w:r w:rsidRPr="006E40E1">
        <w:rPr>
          <w:rFonts w:ascii="Century Gothic" w:hAnsi="Century Gothic"/>
        </w:rPr>
        <w:t xml:space="preserve">ygge- og </w:t>
      </w:r>
      <w:r w:rsidR="00642ACC" w:rsidRPr="006E40E1">
        <w:rPr>
          <w:rFonts w:ascii="Century Gothic" w:hAnsi="Century Gothic"/>
        </w:rPr>
        <w:t>A</w:t>
      </w:r>
      <w:r w:rsidRPr="006E40E1">
        <w:rPr>
          <w:rFonts w:ascii="Century Gothic" w:hAnsi="Century Gothic"/>
        </w:rPr>
        <w:t xml:space="preserve">nlægssektoren, </w:t>
      </w:r>
      <w:r w:rsidR="00642ACC" w:rsidRPr="006E40E1">
        <w:rPr>
          <w:rFonts w:ascii="Century Gothic" w:hAnsi="Century Gothic"/>
        </w:rPr>
        <w:t xml:space="preserve">Service, IT og Rådgivning samt for Energisektoren, </w:t>
      </w:r>
      <w:r w:rsidRPr="006E40E1">
        <w:rPr>
          <w:rFonts w:ascii="Century Gothic" w:hAnsi="Century Gothic"/>
        </w:rPr>
        <w:t xml:space="preserve">om danske rådgivningstjenester og støtteordninger til energirenovering samt erfaringer fra Landsbyggefonden og aftalen om grøn renovering af almene boliger. </w:t>
      </w:r>
    </w:p>
    <w:p w14:paraId="15FF2C85" w14:textId="567ACC22" w:rsidR="000B7C2C" w:rsidRPr="006E40E1" w:rsidRDefault="000B7C2C" w:rsidP="000B7C2C">
      <w:pPr>
        <w:pStyle w:val="ListParagraph"/>
        <w:numPr>
          <w:ilvl w:val="1"/>
          <w:numId w:val="3"/>
        </w:numPr>
        <w:ind w:left="788" w:hanging="431"/>
        <w:contextualSpacing w:val="0"/>
        <w:rPr>
          <w:rFonts w:ascii="Century Gothic" w:hAnsi="Century Gothic"/>
        </w:rPr>
      </w:pPr>
      <w:r w:rsidRPr="006E40E1">
        <w:rPr>
          <w:rFonts w:ascii="Century Gothic" w:hAnsi="Century Gothic"/>
        </w:rPr>
        <w:t xml:space="preserve">Således er der </w:t>
      </w:r>
      <w:r w:rsidR="00E66E14" w:rsidRPr="006E40E1">
        <w:rPr>
          <w:rFonts w:ascii="Century Gothic" w:hAnsi="Century Gothic"/>
        </w:rPr>
        <w:t>i</w:t>
      </w:r>
      <w:r w:rsidRPr="006E40E1">
        <w:rPr>
          <w:rFonts w:ascii="Century Gothic" w:hAnsi="Century Gothic"/>
        </w:rPr>
        <w:t xml:space="preserve"> Danmark erfaringer og </w:t>
      </w:r>
      <w:r w:rsidR="00A10768" w:rsidRPr="006E40E1">
        <w:rPr>
          <w:rFonts w:ascii="Century Gothic" w:hAnsi="Century Gothic"/>
        </w:rPr>
        <w:t>initiativer</w:t>
      </w:r>
      <w:r w:rsidRPr="006E40E1">
        <w:rPr>
          <w:rFonts w:ascii="Century Gothic" w:hAnsi="Century Gothic"/>
        </w:rPr>
        <w:t xml:space="preserve">, der kan understøtte den danske indsats til fremme af </w:t>
      </w:r>
      <w:r w:rsidR="00513F0D" w:rsidRPr="006E40E1">
        <w:rPr>
          <w:rFonts w:ascii="Century Gothic" w:hAnsi="Century Gothic"/>
        </w:rPr>
        <w:t xml:space="preserve">Kommissionens </w:t>
      </w:r>
      <w:r w:rsidRPr="006E40E1">
        <w:rPr>
          <w:rFonts w:ascii="Century Gothic" w:hAnsi="Century Gothic"/>
        </w:rPr>
        <w:t xml:space="preserve">Renovation </w:t>
      </w:r>
      <w:proofErr w:type="spellStart"/>
      <w:r w:rsidRPr="006E40E1">
        <w:rPr>
          <w:rFonts w:ascii="Century Gothic" w:hAnsi="Century Gothic"/>
        </w:rPr>
        <w:t>Wave</w:t>
      </w:r>
      <w:proofErr w:type="spellEnd"/>
      <w:r w:rsidRPr="006E40E1">
        <w:rPr>
          <w:rFonts w:ascii="Century Gothic" w:hAnsi="Century Gothic"/>
        </w:rPr>
        <w:t>-</w:t>
      </w:r>
      <w:r w:rsidR="003B072E" w:rsidRPr="006E40E1">
        <w:rPr>
          <w:rFonts w:ascii="Century Gothic" w:hAnsi="Century Gothic"/>
        </w:rPr>
        <w:t>strategi</w:t>
      </w:r>
      <w:r w:rsidRPr="006E40E1">
        <w:rPr>
          <w:rFonts w:ascii="Century Gothic" w:hAnsi="Century Gothic"/>
        </w:rPr>
        <w:t xml:space="preserve">, men som i høj grad også kan blive en aktiv del af, hvordan </w:t>
      </w:r>
      <w:r w:rsidR="00813CAC" w:rsidRPr="006E40E1">
        <w:rPr>
          <w:rFonts w:ascii="Century Gothic" w:hAnsi="Century Gothic"/>
        </w:rPr>
        <w:t>strategien</w:t>
      </w:r>
      <w:r w:rsidRPr="006E40E1">
        <w:rPr>
          <w:rFonts w:ascii="Century Gothic" w:hAnsi="Century Gothic"/>
        </w:rPr>
        <w:t xml:space="preserve"> udfoldes og udmøntes i andre europæiske lande.  </w:t>
      </w:r>
    </w:p>
    <w:p w14:paraId="795BAA4D" w14:textId="13FF08FA" w:rsidR="000B7C2C" w:rsidRPr="000B7C2C" w:rsidRDefault="000B7C2C" w:rsidP="000B7C2C">
      <w:pPr>
        <w:pStyle w:val="ListParagraph"/>
        <w:numPr>
          <w:ilvl w:val="1"/>
          <w:numId w:val="3"/>
        </w:numPr>
        <w:ind w:left="788" w:hanging="431"/>
        <w:contextualSpacing w:val="0"/>
        <w:rPr>
          <w:rFonts w:ascii="Century Gothic" w:hAnsi="Century Gothic"/>
        </w:rPr>
      </w:pPr>
      <w:r w:rsidRPr="006E40E1">
        <w:rPr>
          <w:rFonts w:ascii="Century Gothic" w:hAnsi="Century Gothic"/>
        </w:rPr>
        <w:t>REO anbefaler således, at regering</w:t>
      </w:r>
      <w:r w:rsidR="002D6A6C" w:rsidRPr="006E40E1">
        <w:rPr>
          <w:rFonts w:ascii="Century Gothic" w:hAnsi="Century Gothic"/>
        </w:rPr>
        <w:t>en</w:t>
      </w:r>
      <w:r w:rsidRPr="006E40E1">
        <w:rPr>
          <w:rFonts w:ascii="Century Gothic" w:hAnsi="Century Gothic"/>
        </w:rPr>
        <w:t xml:space="preserve"> samler de gode </w:t>
      </w:r>
      <w:r w:rsidR="002F4C64" w:rsidRPr="006E40E1">
        <w:rPr>
          <w:rFonts w:ascii="Century Gothic" w:hAnsi="Century Gothic"/>
        </w:rPr>
        <w:t>omkostningseffektive</w:t>
      </w:r>
      <w:r w:rsidR="002F4C64">
        <w:rPr>
          <w:rFonts w:ascii="Century Gothic" w:hAnsi="Century Gothic"/>
        </w:rPr>
        <w:t xml:space="preserve"> </w:t>
      </w:r>
      <w:r w:rsidR="000D7009">
        <w:rPr>
          <w:rFonts w:ascii="Century Gothic" w:hAnsi="Century Gothic"/>
        </w:rPr>
        <w:t xml:space="preserve">danske </w:t>
      </w:r>
      <w:r w:rsidRPr="000B7C2C">
        <w:rPr>
          <w:rFonts w:ascii="Century Gothic" w:hAnsi="Century Gothic"/>
        </w:rPr>
        <w:t xml:space="preserve">cases, initiativer og erfaringer i et katalog, der </w:t>
      </w:r>
      <w:r w:rsidR="000B7FCE">
        <w:rPr>
          <w:rFonts w:ascii="Century Gothic" w:hAnsi="Century Gothic"/>
        </w:rPr>
        <w:t xml:space="preserve">både </w:t>
      </w:r>
      <w:r w:rsidRPr="000B7C2C">
        <w:rPr>
          <w:rFonts w:ascii="Century Gothic" w:hAnsi="Century Gothic"/>
        </w:rPr>
        <w:t xml:space="preserve">kan understøtte den danske indsats og </w:t>
      </w:r>
      <w:r w:rsidR="001F2338">
        <w:rPr>
          <w:rFonts w:ascii="Century Gothic" w:hAnsi="Century Gothic"/>
        </w:rPr>
        <w:t xml:space="preserve">deles med EU-kommissionen til </w:t>
      </w:r>
      <w:r w:rsidRPr="000B7C2C">
        <w:rPr>
          <w:rFonts w:ascii="Century Gothic" w:hAnsi="Century Gothic"/>
        </w:rPr>
        <w:t xml:space="preserve">fremme </w:t>
      </w:r>
      <w:r w:rsidR="001F2338">
        <w:rPr>
          <w:rFonts w:ascii="Century Gothic" w:hAnsi="Century Gothic"/>
        </w:rPr>
        <w:t xml:space="preserve">af </w:t>
      </w:r>
      <w:r w:rsidRPr="000B7C2C">
        <w:rPr>
          <w:rFonts w:ascii="Century Gothic" w:hAnsi="Century Gothic"/>
        </w:rPr>
        <w:t xml:space="preserve">indsatsen i de øvrige EU-lande. </w:t>
      </w:r>
      <w:r w:rsidR="0050152C">
        <w:rPr>
          <w:rFonts w:ascii="Century Gothic" w:hAnsi="Century Gothic"/>
        </w:rPr>
        <w:t>Relevante aktører vil bidrage hertil.</w:t>
      </w:r>
      <w:r w:rsidRPr="000B7C2C">
        <w:rPr>
          <w:rFonts w:ascii="Century Gothic" w:hAnsi="Century Gothic"/>
        </w:rPr>
        <w:t xml:space="preserve"> </w:t>
      </w:r>
    </w:p>
    <w:p w14:paraId="4CA150D2" w14:textId="77777777" w:rsidR="000B7C2C" w:rsidRPr="000B7C2C" w:rsidRDefault="000B7C2C" w:rsidP="000B7C2C">
      <w:pPr>
        <w:pStyle w:val="ListParagraph"/>
        <w:numPr>
          <w:ilvl w:val="1"/>
          <w:numId w:val="3"/>
        </w:numPr>
        <w:ind w:left="788" w:hanging="431"/>
        <w:contextualSpacing w:val="0"/>
        <w:rPr>
          <w:rFonts w:ascii="Century Gothic" w:hAnsi="Century Gothic"/>
        </w:rPr>
      </w:pPr>
      <w:r w:rsidRPr="000B7C2C">
        <w:rPr>
          <w:rFonts w:ascii="Century Gothic" w:hAnsi="Century Gothic"/>
        </w:rPr>
        <w:t xml:space="preserve">Med andre ord anser REO det for afgørende vigtigt, at den danske regering blander sig i udmøntningen af Renovation </w:t>
      </w:r>
      <w:proofErr w:type="spellStart"/>
      <w:r w:rsidRPr="000B7C2C">
        <w:rPr>
          <w:rFonts w:ascii="Century Gothic" w:hAnsi="Century Gothic"/>
        </w:rPr>
        <w:t>Wave</w:t>
      </w:r>
      <w:proofErr w:type="spellEnd"/>
      <w:r w:rsidRPr="000B7C2C">
        <w:rPr>
          <w:rFonts w:ascii="Century Gothic" w:hAnsi="Century Gothic"/>
        </w:rPr>
        <w:t xml:space="preserve">-udspillet og indgår fuldt og helt med den viden og de kompetencer, vi har opbygget i Danmark. Både i virksomheder, i organisationer, hos bygningsejere af alle slags og hos myndigheder og </w:t>
      </w:r>
      <w:proofErr w:type="spellStart"/>
      <w:r w:rsidRPr="000B7C2C">
        <w:rPr>
          <w:rFonts w:ascii="Century Gothic" w:hAnsi="Century Gothic"/>
        </w:rPr>
        <w:t>vidensinstitutioner</w:t>
      </w:r>
      <w:proofErr w:type="spellEnd"/>
      <w:r w:rsidRPr="000B7C2C">
        <w:rPr>
          <w:rFonts w:ascii="Century Gothic" w:hAnsi="Century Gothic"/>
        </w:rPr>
        <w:t>.</w:t>
      </w:r>
    </w:p>
    <w:p w14:paraId="6BC92F43" w14:textId="6CB25FA2" w:rsidR="000B7C2C" w:rsidRPr="000B7C2C" w:rsidRDefault="000B7C2C" w:rsidP="000B7C2C">
      <w:pPr>
        <w:pStyle w:val="Heading1"/>
        <w:numPr>
          <w:ilvl w:val="0"/>
          <w:numId w:val="3"/>
        </w:numPr>
        <w:tabs>
          <w:tab w:val="num" w:pos="360"/>
        </w:tabs>
        <w:ind w:left="0" w:firstLine="0"/>
        <w:rPr>
          <w:rFonts w:ascii="Century Gothic" w:hAnsi="Century Gothic"/>
          <w:color w:val="276E8B"/>
          <w:sz w:val="24"/>
          <w:szCs w:val="24"/>
        </w:rPr>
      </w:pPr>
      <w:r>
        <w:rPr>
          <w:rFonts w:ascii="Century Gothic" w:hAnsi="Century Gothic"/>
          <w:color w:val="276E8B"/>
          <w:sz w:val="24"/>
          <w:szCs w:val="24"/>
        </w:rPr>
        <w:t>Energimærkning</w:t>
      </w:r>
    </w:p>
    <w:p w14:paraId="59C69EDE" w14:textId="2C19873F" w:rsidR="00A7756C" w:rsidRPr="00A7756C" w:rsidRDefault="00A7756C" w:rsidP="00A7756C">
      <w:pPr>
        <w:pStyle w:val="ListParagraph"/>
        <w:numPr>
          <w:ilvl w:val="1"/>
          <w:numId w:val="3"/>
        </w:numPr>
        <w:ind w:left="788" w:hanging="431"/>
        <w:contextualSpacing w:val="0"/>
        <w:rPr>
          <w:rFonts w:ascii="Century Gothic" w:hAnsi="Century Gothic"/>
        </w:rPr>
      </w:pPr>
      <w:r w:rsidRPr="00A7756C">
        <w:rPr>
          <w:rFonts w:ascii="Century Gothic" w:hAnsi="Century Gothic"/>
        </w:rPr>
        <w:t xml:space="preserve">REO mener, at retvisende, tilgængelige og aktive energimærker er en nødvendig forudsætning for, at målsætningerne i Renovation </w:t>
      </w:r>
      <w:proofErr w:type="spellStart"/>
      <w:r w:rsidRPr="00A7756C">
        <w:rPr>
          <w:rFonts w:ascii="Century Gothic" w:hAnsi="Century Gothic"/>
        </w:rPr>
        <w:t>Wave</w:t>
      </w:r>
      <w:proofErr w:type="spellEnd"/>
      <w:r w:rsidRPr="00A7756C">
        <w:rPr>
          <w:rFonts w:ascii="Century Gothic" w:hAnsi="Century Gothic"/>
        </w:rPr>
        <w:t xml:space="preserve"> kan opnås.</w:t>
      </w:r>
    </w:p>
    <w:p w14:paraId="33C98384" w14:textId="12941711" w:rsidR="00A7756C" w:rsidRPr="00157F16" w:rsidRDefault="00A7756C" w:rsidP="00A7756C">
      <w:pPr>
        <w:pStyle w:val="ListParagraph"/>
        <w:numPr>
          <w:ilvl w:val="1"/>
          <w:numId w:val="3"/>
        </w:numPr>
        <w:ind w:left="788" w:hanging="431"/>
        <w:contextualSpacing w:val="0"/>
        <w:rPr>
          <w:rFonts w:ascii="Century Gothic" w:hAnsi="Century Gothic"/>
          <w:strike/>
        </w:rPr>
      </w:pPr>
      <w:r w:rsidRPr="00A7756C">
        <w:rPr>
          <w:rFonts w:ascii="Century Gothic" w:hAnsi="Century Gothic"/>
        </w:rPr>
        <w:t>REO mener i forlængelse heraf, at Danmark er godt i gang, hvad angår forbedring af energimærkningen af private ejerboliger – herunder især parcelhuse og lignende – men at der for større bygninger og ikke mindst erhvervsejendomme til stadighed er udfordringer med retvisende energimærker, som kan bruges aktivt af ejendommenes ejere</w:t>
      </w:r>
      <w:r w:rsidR="00157F16">
        <w:rPr>
          <w:rFonts w:ascii="Century Gothic" w:hAnsi="Century Gothic"/>
        </w:rPr>
        <w:t>.</w:t>
      </w:r>
    </w:p>
    <w:p w14:paraId="54C722C3" w14:textId="7254C69E" w:rsidR="00A7756C" w:rsidRPr="00A7756C" w:rsidRDefault="00A7756C" w:rsidP="00A7756C">
      <w:pPr>
        <w:pStyle w:val="ListParagraph"/>
        <w:numPr>
          <w:ilvl w:val="1"/>
          <w:numId w:val="3"/>
        </w:numPr>
        <w:ind w:left="788" w:hanging="431"/>
        <w:contextualSpacing w:val="0"/>
        <w:rPr>
          <w:rFonts w:ascii="Century Gothic" w:hAnsi="Century Gothic"/>
        </w:rPr>
      </w:pPr>
      <w:r w:rsidRPr="00A7756C">
        <w:rPr>
          <w:rFonts w:ascii="Century Gothic" w:hAnsi="Century Gothic"/>
        </w:rPr>
        <w:t>REO bifalder, at Energistyrelsen har gennemført et arbejde for at gøre energimærkningen mere læsbar og tilgængelig, men REO konstaterer også, at dette ikke løser den grundlæggende problematik, der findes for større bygninger og erhvervsejendomme i bred forstand</w:t>
      </w:r>
      <w:r w:rsidR="0050152C">
        <w:rPr>
          <w:rFonts w:ascii="Century Gothic" w:hAnsi="Century Gothic"/>
        </w:rPr>
        <w:t>.</w:t>
      </w:r>
    </w:p>
    <w:p w14:paraId="79679E8B" w14:textId="3A080EC6" w:rsidR="0004646F" w:rsidRDefault="00A7756C" w:rsidP="00A7756C">
      <w:pPr>
        <w:pStyle w:val="ListParagraph"/>
        <w:numPr>
          <w:ilvl w:val="1"/>
          <w:numId w:val="3"/>
        </w:numPr>
        <w:ind w:left="788" w:hanging="431"/>
        <w:contextualSpacing w:val="0"/>
        <w:rPr>
          <w:rFonts w:ascii="Century Gothic" w:hAnsi="Century Gothic"/>
        </w:rPr>
      </w:pPr>
      <w:r w:rsidRPr="00A7756C">
        <w:rPr>
          <w:rFonts w:ascii="Century Gothic" w:hAnsi="Century Gothic"/>
        </w:rPr>
        <w:t xml:space="preserve">REO anbefaler på denne baggrund, at regeringen i regi af Renovation </w:t>
      </w:r>
      <w:proofErr w:type="spellStart"/>
      <w:r w:rsidRPr="00A7756C">
        <w:rPr>
          <w:rFonts w:ascii="Century Gothic" w:hAnsi="Century Gothic"/>
        </w:rPr>
        <w:t>Wave</w:t>
      </w:r>
      <w:proofErr w:type="spellEnd"/>
      <w:r w:rsidRPr="00A7756C">
        <w:rPr>
          <w:rFonts w:ascii="Century Gothic" w:hAnsi="Century Gothic"/>
        </w:rPr>
        <w:t xml:space="preserve"> igangsætter et arbejde, der skal føre til en opdatering af energimærk</w:t>
      </w:r>
      <w:r w:rsidR="00C74A04">
        <w:rPr>
          <w:rFonts w:ascii="Century Gothic" w:hAnsi="Century Gothic"/>
        </w:rPr>
        <w:t>nings</w:t>
      </w:r>
      <w:r w:rsidRPr="00A7756C">
        <w:rPr>
          <w:rFonts w:ascii="Century Gothic" w:hAnsi="Century Gothic"/>
        </w:rPr>
        <w:t>ordningen for større bygninger og erhvervsejendomme. Målet med arbejdet skal være, at det løbende arbejde med energimærk</w:t>
      </w:r>
      <w:r w:rsidR="00486ABE">
        <w:rPr>
          <w:rFonts w:ascii="Century Gothic" w:hAnsi="Century Gothic"/>
        </w:rPr>
        <w:t>ning</w:t>
      </w:r>
      <w:r w:rsidRPr="00A7756C">
        <w:rPr>
          <w:rFonts w:ascii="Century Gothic" w:hAnsi="Century Gothic"/>
        </w:rPr>
        <w:t xml:space="preserve"> – og brugen deraf – kommer tættere på de driftsorganisationer, der i dagligdagen styrer og udvikler de store ejendomme og erhvervsejendomme. </w:t>
      </w:r>
      <w:r w:rsidR="009A31DB">
        <w:rPr>
          <w:rFonts w:ascii="Century Gothic" w:hAnsi="Century Gothic"/>
        </w:rPr>
        <w:t>Det skal</w:t>
      </w:r>
      <w:r w:rsidR="00AE773D">
        <w:rPr>
          <w:rFonts w:ascii="Century Gothic" w:hAnsi="Century Gothic"/>
        </w:rPr>
        <w:t xml:space="preserve"> </w:t>
      </w:r>
      <w:r w:rsidRPr="00A7756C">
        <w:rPr>
          <w:rFonts w:ascii="Century Gothic" w:hAnsi="Century Gothic"/>
        </w:rPr>
        <w:t>derfor sikre</w:t>
      </w:r>
      <w:r w:rsidR="00AE773D">
        <w:rPr>
          <w:rFonts w:ascii="Century Gothic" w:hAnsi="Century Gothic"/>
        </w:rPr>
        <w:t>s</w:t>
      </w:r>
      <w:r w:rsidR="003428BA">
        <w:rPr>
          <w:rFonts w:ascii="Century Gothic" w:hAnsi="Century Gothic"/>
        </w:rPr>
        <w:t>:</w:t>
      </w:r>
      <w:r w:rsidRPr="00A7756C">
        <w:rPr>
          <w:rFonts w:ascii="Century Gothic" w:hAnsi="Century Gothic"/>
        </w:rPr>
        <w:t xml:space="preserve"> </w:t>
      </w:r>
    </w:p>
    <w:p w14:paraId="6C9C69D1" w14:textId="18404868" w:rsidR="004460F3" w:rsidRDefault="003428BA" w:rsidP="0004646F">
      <w:pPr>
        <w:pStyle w:val="ListParagraph"/>
        <w:numPr>
          <w:ilvl w:val="2"/>
          <w:numId w:val="3"/>
        </w:numPr>
        <w:contextualSpacing w:val="0"/>
        <w:rPr>
          <w:rFonts w:ascii="Century Gothic" w:hAnsi="Century Gothic"/>
        </w:rPr>
      </w:pPr>
      <w:r>
        <w:rPr>
          <w:rFonts w:ascii="Century Gothic" w:hAnsi="Century Gothic"/>
        </w:rPr>
        <w:t xml:space="preserve">At </w:t>
      </w:r>
      <w:r w:rsidR="00A7756C" w:rsidRPr="00A7756C">
        <w:rPr>
          <w:rFonts w:ascii="Century Gothic" w:hAnsi="Century Gothic"/>
        </w:rPr>
        <w:t>energimærk</w:t>
      </w:r>
      <w:r w:rsidR="007B70F9">
        <w:rPr>
          <w:rFonts w:ascii="Century Gothic" w:hAnsi="Century Gothic"/>
        </w:rPr>
        <w:t>ningsindsatsen også</w:t>
      </w:r>
      <w:r w:rsidR="00A7756C" w:rsidRPr="00A7756C">
        <w:rPr>
          <w:rFonts w:ascii="Century Gothic" w:hAnsi="Century Gothic"/>
        </w:rPr>
        <w:t xml:space="preserve"> medtager bygningernes drift og faktiske brug samt plan- og reguleringsmæssige status med henblik på at </w:t>
      </w:r>
      <w:r w:rsidR="00C86CB4">
        <w:rPr>
          <w:rFonts w:ascii="Century Gothic" w:hAnsi="Century Gothic"/>
        </w:rPr>
        <w:t xml:space="preserve">indsatsen </w:t>
      </w:r>
      <w:r w:rsidR="00FA7D76">
        <w:rPr>
          <w:rFonts w:ascii="Century Gothic" w:hAnsi="Century Gothic"/>
        </w:rPr>
        <w:t>kommer til at omfatte alle faktorer, der påvirker bygningens energiforbrug. Det kan organiseres som en samlet energimærkning eller flere energimærker omfattende hhv. bygning og drift</w:t>
      </w:r>
    </w:p>
    <w:p w14:paraId="31C2FAA2" w14:textId="7170A9A5" w:rsidR="00EF29A2" w:rsidRDefault="00E33A34" w:rsidP="0004646F">
      <w:pPr>
        <w:pStyle w:val="ListParagraph"/>
        <w:numPr>
          <w:ilvl w:val="2"/>
          <w:numId w:val="3"/>
        </w:numPr>
        <w:contextualSpacing w:val="0"/>
        <w:rPr>
          <w:rFonts w:ascii="Century Gothic" w:hAnsi="Century Gothic"/>
        </w:rPr>
      </w:pPr>
      <w:r>
        <w:rPr>
          <w:rFonts w:ascii="Century Gothic" w:hAnsi="Century Gothic"/>
        </w:rPr>
        <w:t>A</w:t>
      </w:r>
      <w:r w:rsidR="00A7756C" w:rsidRPr="00A7756C">
        <w:rPr>
          <w:rFonts w:ascii="Century Gothic" w:hAnsi="Century Gothic"/>
        </w:rPr>
        <w:t xml:space="preserve">t der bliver peget på realistiske og rentable forbedringer inkl. værdien af de ikke-energibesparende potentielle forbedringer, der opnås ved en renovering </w:t>
      </w:r>
    </w:p>
    <w:p w14:paraId="0A2910FC" w14:textId="54A74713" w:rsidR="00FA6D08" w:rsidRDefault="00FA6D08" w:rsidP="0004646F">
      <w:pPr>
        <w:pStyle w:val="ListParagraph"/>
        <w:numPr>
          <w:ilvl w:val="2"/>
          <w:numId w:val="3"/>
        </w:numPr>
        <w:contextualSpacing w:val="0"/>
        <w:rPr>
          <w:rFonts w:ascii="Century Gothic" w:hAnsi="Century Gothic"/>
        </w:rPr>
      </w:pPr>
      <w:r>
        <w:rPr>
          <w:rFonts w:ascii="Century Gothic" w:hAnsi="Century Gothic"/>
        </w:rPr>
        <w:t>At der bliver peget på mulige energibesparelser ved ændring af driften</w:t>
      </w:r>
    </w:p>
    <w:p w14:paraId="768D7B70" w14:textId="24588058" w:rsidR="00A7756C" w:rsidRPr="00502FCC" w:rsidRDefault="00A7756C" w:rsidP="00502FCC">
      <w:pPr>
        <w:pStyle w:val="ListParagraph"/>
        <w:numPr>
          <w:ilvl w:val="1"/>
          <w:numId w:val="3"/>
        </w:numPr>
        <w:ind w:left="788" w:hanging="431"/>
        <w:contextualSpacing w:val="0"/>
        <w:rPr>
          <w:rFonts w:ascii="Century Gothic" w:hAnsi="Century Gothic"/>
        </w:rPr>
      </w:pPr>
      <w:r w:rsidRPr="00502FCC">
        <w:rPr>
          <w:rFonts w:ascii="Century Gothic" w:hAnsi="Century Gothic"/>
        </w:rPr>
        <w:t xml:space="preserve">Det er </w:t>
      </w:r>
      <w:proofErr w:type="spellStart"/>
      <w:r w:rsidRPr="00502FCC">
        <w:rPr>
          <w:rFonts w:ascii="Century Gothic" w:hAnsi="Century Gothic"/>
        </w:rPr>
        <w:t>REO’s</w:t>
      </w:r>
      <w:proofErr w:type="spellEnd"/>
      <w:r w:rsidRPr="00502FCC">
        <w:rPr>
          <w:rFonts w:ascii="Century Gothic" w:hAnsi="Century Gothic"/>
        </w:rPr>
        <w:t xml:space="preserve"> forventning, at </w:t>
      </w:r>
      <w:r w:rsidR="00585C01" w:rsidRPr="00502FCC">
        <w:rPr>
          <w:rFonts w:ascii="Century Gothic" w:hAnsi="Century Gothic"/>
        </w:rPr>
        <w:t xml:space="preserve">en sådan tilgang </w:t>
      </w:r>
      <w:r w:rsidRPr="00502FCC">
        <w:rPr>
          <w:rFonts w:ascii="Century Gothic" w:hAnsi="Century Gothic"/>
        </w:rPr>
        <w:t>vil fordre e</w:t>
      </w:r>
      <w:r w:rsidR="00E508EB" w:rsidRPr="00502FCC">
        <w:rPr>
          <w:rFonts w:ascii="Century Gothic" w:hAnsi="Century Gothic"/>
        </w:rPr>
        <w:t>t</w:t>
      </w:r>
      <w:r w:rsidRPr="00502FCC">
        <w:rPr>
          <w:rFonts w:ascii="Century Gothic" w:hAnsi="Century Gothic"/>
        </w:rPr>
        <w:t xml:space="preserve"> større fokus på tekniske installationer</w:t>
      </w:r>
      <w:r w:rsidR="00E508EB" w:rsidRPr="00502FCC">
        <w:rPr>
          <w:rFonts w:ascii="Century Gothic" w:hAnsi="Century Gothic"/>
        </w:rPr>
        <w:t>,</w:t>
      </w:r>
      <w:r w:rsidRPr="00502FCC">
        <w:rPr>
          <w:rFonts w:ascii="Century Gothic" w:hAnsi="Century Gothic"/>
        </w:rPr>
        <w:t xml:space="preserve"> drift</w:t>
      </w:r>
      <w:r w:rsidR="00E508EB" w:rsidRPr="00502FCC">
        <w:rPr>
          <w:rFonts w:ascii="Century Gothic" w:hAnsi="Century Gothic"/>
        </w:rPr>
        <w:t xml:space="preserve"> og vedligehold</w:t>
      </w:r>
      <w:r w:rsidRPr="00502FCC">
        <w:rPr>
          <w:rFonts w:ascii="Century Gothic" w:hAnsi="Century Gothic"/>
        </w:rPr>
        <w:t xml:space="preserve"> </w:t>
      </w:r>
      <w:r w:rsidR="00A63F2A">
        <w:rPr>
          <w:rFonts w:ascii="Century Gothic" w:hAnsi="Century Gothic"/>
        </w:rPr>
        <w:t>både hos drift</w:t>
      </w:r>
      <w:r w:rsidR="006E235C">
        <w:rPr>
          <w:rFonts w:ascii="Century Gothic" w:hAnsi="Century Gothic"/>
        </w:rPr>
        <w:t xml:space="preserve">sorganisationerne og </w:t>
      </w:r>
      <w:r w:rsidRPr="00502FCC">
        <w:rPr>
          <w:rFonts w:ascii="Century Gothic" w:hAnsi="Century Gothic"/>
        </w:rPr>
        <w:t>hos de konsulenter, der udarbejder energimærker for de større ejendomme.</w:t>
      </w:r>
      <w:r w:rsidR="00502FCC" w:rsidRPr="00502FCC">
        <w:rPr>
          <w:rFonts w:ascii="Century Gothic" w:hAnsi="Century Gothic"/>
        </w:rPr>
        <w:t xml:space="preserve"> </w:t>
      </w:r>
    </w:p>
    <w:p w14:paraId="2C1CD407" w14:textId="0D037BD7" w:rsidR="00A7756C" w:rsidRDefault="00A7756C" w:rsidP="00255E26">
      <w:pPr>
        <w:pStyle w:val="ListParagraph"/>
        <w:numPr>
          <w:ilvl w:val="1"/>
          <w:numId w:val="3"/>
        </w:numPr>
        <w:spacing w:after="0"/>
        <w:ind w:left="788" w:hanging="431"/>
        <w:contextualSpacing w:val="0"/>
        <w:rPr>
          <w:rFonts w:ascii="Century Gothic" w:hAnsi="Century Gothic"/>
        </w:rPr>
      </w:pPr>
      <w:r w:rsidRPr="00A7756C">
        <w:rPr>
          <w:rFonts w:ascii="Century Gothic" w:hAnsi="Century Gothic"/>
        </w:rPr>
        <w:t>REO understreger, at det er væsentligt at sikre, at arbejdet med en opdateret energimærk</w:t>
      </w:r>
      <w:r w:rsidR="00EC18BC">
        <w:rPr>
          <w:rFonts w:ascii="Century Gothic" w:hAnsi="Century Gothic"/>
        </w:rPr>
        <w:t>nings</w:t>
      </w:r>
      <w:r w:rsidRPr="00A7756C">
        <w:rPr>
          <w:rFonts w:ascii="Century Gothic" w:hAnsi="Century Gothic"/>
        </w:rPr>
        <w:t>ordning for større bygninger og erhvervsejendomme gennemføres i tæt samarbejde med både de relevante brugere, ejere og administratorer af de berørte ejendomme, relevante tekniske eksperter og udførende virksomheder. Energimærket skal være af en sådan kvalitet</w:t>
      </w:r>
      <w:r w:rsidR="00575B7D">
        <w:rPr>
          <w:rFonts w:ascii="Century Gothic" w:hAnsi="Century Gothic"/>
        </w:rPr>
        <w:t>,</w:t>
      </w:r>
      <w:r w:rsidRPr="00A7756C">
        <w:rPr>
          <w:rFonts w:ascii="Century Gothic" w:hAnsi="Century Gothic"/>
        </w:rPr>
        <w:t xml:space="preserve"> at det naturligt indgår i beslutningerne om ejendommens drift</w:t>
      </w:r>
      <w:r w:rsidR="00F835DD">
        <w:rPr>
          <w:rFonts w:ascii="Century Gothic" w:hAnsi="Century Gothic"/>
        </w:rPr>
        <w:t xml:space="preserve"> og </w:t>
      </w:r>
      <w:r w:rsidR="00F835DD" w:rsidRPr="0039605D">
        <w:rPr>
          <w:rFonts w:ascii="Century Gothic" w:hAnsi="Century Gothic"/>
        </w:rPr>
        <w:t>vedligehold</w:t>
      </w:r>
      <w:r w:rsidR="00072C6E" w:rsidRPr="00495FAF">
        <w:rPr>
          <w:rFonts w:ascii="Century Gothic" w:hAnsi="Century Gothic"/>
        </w:rPr>
        <w:t xml:space="preserve">. </w:t>
      </w:r>
      <w:r w:rsidR="00072C6E" w:rsidRPr="00773F0E">
        <w:rPr>
          <w:rFonts w:ascii="Century Gothic" w:hAnsi="Century Gothic"/>
        </w:rPr>
        <w:t>Energimærket</w:t>
      </w:r>
      <w:r w:rsidR="00E441E3" w:rsidRPr="0039605D">
        <w:rPr>
          <w:rFonts w:ascii="Century Gothic" w:hAnsi="Century Gothic"/>
        </w:rPr>
        <w:t xml:space="preserve"> kan undlades såfremt virksomhederne har implementeret energiledelse der allerede omfatter bygningerne og drift</w:t>
      </w:r>
      <w:r w:rsidR="0039605D" w:rsidRPr="0039605D">
        <w:rPr>
          <w:rFonts w:ascii="Century Gothic" w:hAnsi="Century Gothic"/>
        </w:rPr>
        <w:t xml:space="preserve"> og vedligeholdelse </w:t>
      </w:r>
      <w:r w:rsidR="00E441E3" w:rsidRPr="0039605D">
        <w:rPr>
          <w:rFonts w:ascii="Century Gothic" w:hAnsi="Century Gothic"/>
        </w:rPr>
        <w:t>af disse</w:t>
      </w:r>
      <w:r w:rsidRPr="0039605D">
        <w:rPr>
          <w:rFonts w:ascii="Century Gothic" w:hAnsi="Century Gothic"/>
        </w:rPr>
        <w:t>.</w:t>
      </w:r>
      <w:r w:rsidRPr="00A7756C">
        <w:rPr>
          <w:rFonts w:ascii="Century Gothic" w:hAnsi="Century Gothic"/>
        </w:rPr>
        <w:t xml:space="preserve"> </w:t>
      </w:r>
    </w:p>
    <w:p w14:paraId="66A9FCA8" w14:textId="77777777" w:rsidR="00255E26" w:rsidRDefault="00255E26" w:rsidP="00255E26">
      <w:pPr>
        <w:pStyle w:val="ListParagraph"/>
        <w:ind w:left="360" w:firstLine="428"/>
        <w:contextualSpacing w:val="0"/>
        <w:rPr>
          <w:rFonts w:ascii="Century Gothic" w:hAnsi="Century Gothic"/>
          <w:i/>
          <w:iCs/>
        </w:rPr>
      </w:pPr>
    </w:p>
    <w:p w14:paraId="33799C75" w14:textId="19157158" w:rsidR="00063557" w:rsidRPr="00BE44F1" w:rsidRDefault="00063557" w:rsidP="00255E26">
      <w:pPr>
        <w:pStyle w:val="ListParagraph"/>
        <w:ind w:left="360" w:firstLine="428"/>
        <w:contextualSpacing w:val="0"/>
        <w:rPr>
          <w:rFonts w:ascii="Century Gothic" w:hAnsi="Century Gothic"/>
          <w:i/>
          <w:iCs/>
        </w:rPr>
      </w:pPr>
      <w:r w:rsidRPr="002868B4">
        <w:rPr>
          <w:rFonts w:ascii="Century Gothic" w:hAnsi="Century Gothic"/>
          <w:i/>
          <w:iCs/>
        </w:rPr>
        <w:t>Anbefaling 2.1.</w:t>
      </w:r>
      <w:r>
        <w:rPr>
          <w:rFonts w:ascii="Century Gothic" w:hAnsi="Century Gothic"/>
          <w:i/>
          <w:iCs/>
        </w:rPr>
        <w:t xml:space="preserve">-2.6. </w:t>
      </w:r>
      <w:r w:rsidRPr="002868B4">
        <w:rPr>
          <w:rFonts w:ascii="Century Gothic" w:hAnsi="Century Gothic"/>
          <w:i/>
          <w:iCs/>
        </w:rPr>
        <w:t>støttes ikke af: Dansk Erhver</w:t>
      </w:r>
      <w:r>
        <w:rPr>
          <w:rFonts w:ascii="Century Gothic" w:hAnsi="Century Gothic"/>
          <w:i/>
          <w:iCs/>
        </w:rPr>
        <w:t>v</w:t>
      </w:r>
    </w:p>
    <w:p w14:paraId="59B297E2" w14:textId="77777777" w:rsidR="00063557" w:rsidRPr="00A7756C" w:rsidRDefault="00063557" w:rsidP="00255E26">
      <w:pPr>
        <w:pStyle w:val="ListParagraph"/>
        <w:ind w:left="788"/>
        <w:contextualSpacing w:val="0"/>
        <w:rPr>
          <w:rFonts w:ascii="Century Gothic" w:hAnsi="Century Gothic"/>
        </w:rPr>
      </w:pPr>
    </w:p>
    <w:p w14:paraId="23C436BB" w14:textId="7D15537F" w:rsidR="000137EE" w:rsidRPr="000B7C2C" w:rsidRDefault="000137EE" w:rsidP="000137EE">
      <w:pPr>
        <w:pStyle w:val="Heading1"/>
        <w:numPr>
          <w:ilvl w:val="0"/>
          <w:numId w:val="3"/>
        </w:numPr>
        <w:tabs>
          <w:tab w:val="num" w:pos="360"/>
        </w:tabs>
        <w:ind w:left="0" w:firstLine="0"/>
        <w:rPr>
          <w:rFonts w:ascii="Century Gothic" w:hAnsi="Century Gothic"/>
          <w:color w:val="276E8B"/>
          <w:sz w:val="24"/>
          <w:szCs w:val="24"/>
        </w:rPr>
      </w:pPr>
      <w:r>
        <w:rPr>
          <w:rFonts w:ascii="Century Gothic" w:hAnsi="Century Gothic"/>
          <w:color w:val="276E8B"/>
          <w:sz w:val="24"/>
          <w:szCs w:val="24"/>
        </w:rPr>
        <w:t>Målrettet finansiering</w:t>
      </w:r>
    </w:p>
    <w:p w14:paraId="5DC88A6B" w14:textId="1C6C37D2" w:rsidR="00C332F5" w:rsidRPr="00C332F5" w:rsidRDefault="00C332F5" w:rsidP="00C332F5">
      <w:pPr>
        <w:pStyle w:val="ListParagraph"/>
        <w:numPr>
          <w:ilvl w:val="1"/>
          <w:numId w:val="3"/>
        </w:numPr>
        <w:ind w:left="788" w:hanging="431"/>
        <w:contextualSpacing w:val="0"/>
        <w:rPr>
          <w:rFonts w:ascii="Century Gothic" w:hAnsi="Century Gothic"/>
        </w:rPr>
      </w:pPr>
      <w:r w:rsidRPr="00C332F5">
        <w:rPr>
          <w:rFonts w:ascii="Century Gothic" w:hAnsi="Century Gothic"/>
        </w:rPr>
        <w:t xml:space="preserve">EU-Kommissionen anslår, at der er behov for investeringer på omkring 275 milliarder Euro årligt i renoveringssektoren for at nå klimamålet på 55 % i 2030. Store dele af de midler, som EU frigiver til at bringe de europæiske landes økonomier på fode igen efter Coronakrisen, og måske også for nogle landes vedkommende efter finanskrisen, skal gå til indsatsen for Renovation </w:t>
      </w:r>
      <w:proofErr w:type="spellStart"/>
      <w:r w:rsidRPr="00C332F5">
        <w:rPr>
          <w:rFonts w:ascii="Century Gothic" w:hAnsi="Century Gothic"/>
        </w:rPr>
        <w:t>Wave</w:t>
      </w:r>
      <w:proofErr w:type="spellEnd"/>
      <w:r w:rsidRPr="00C332F5">
        <w:rPr>
          <w:rFonts w:ascii="Century Gothic" w:hAnsi="Century Gothic"/>
        </w:rPr>
        <w:t>. Kommissionen ønsker også at bringe den Europæiske Investeringsbank i spil til at kunne give skræddersyet støtte og lån til renoveringsprojekter.</w:t>
      </w:r>
    </w:p>
    <w:p w14:paraId="71731AF6" w14:textId="4CA76FF1" w:rsidR="00C332F5" w:rsidRPr="00C332F5" w:rsidRDefault="00C332F5" w:rsidP="00C332F5">
      <w:pPr>
        <w:pStyle w:val="ListParagraph"/>
        <w:numPr>
          <w:ilvl w:val="1"/>
          <w:numId w:val="3"/>
        </w:numPr>
        <w:ind w:left="788" w:hanging="431"/>
        <w:contextualSpacing w:val="0"/>
        <w:rPr>
          <w:rFonts w:ascii="Century Gothic" w:hAnsi="Century Gothic"/>
        </w:rPr>
      </w:pPr>
      <w:r w:rsidRPr="00C332F5">
        <w:rPr>
          <w:rFonts w:ascii="Century Gothic" w:hAnsi="Century Gothic"/>
        </w:rPr>
        <w:t>Det er imidlertid uklart for REO, hvad Kommissionens forslag om finansiering, støtte, lån og delfinansiering af renoveringsinitiativer og renoveringsprojekter betyder i en dansk sammenhæng. Det er rådets opfattelse, at mange midler er tiltænkt Øst- og Centraleuropa og vores Sydeuropæiske naboer, hvor behovet for lokal jobskabelse i byggesektoren er særlig stort.</w:t>
      </w:r>
    </w:p>
    <w:p w14:paraId="67DE4561" w14:textId="12C196FE" w:rsidR="00C332F5" w:rsidRPr="00C332F5" w:rsidRDefault="00C332F5" w:rsidP="00C332F5">
      <w:pPr>
        <w:pStyle w:val="ListParagraph"/>
        <w:numPr>
          <w:ilvl w:val="1"/>
          <w:numId w:val="3"/>
        </w:numPr>
        <w:ind w:left="788" w:hanging="431"/>
        <w:contextualSpacing w:val="0"/>
        <w:rPr>
          <w:rFonts w:ascii="Century Gothic" w:hAnsi="Century Gothic"/>
        </w:rPr>
      </w:pPr>
      <w:r w:rsidRPr="00C332F5">
        <w:rPr>
          <w:rFonts w:ascii="Century Gothic" w:hAnsi="Century Gothic"/>
        </w:rPr>
        <w:t>REO vil gerne høre regering</w:t>
      </w:r>
      <w:r w:rsidR="00866C4A">
        <w:rPr>
          <w:rFonts w:ascii="Century Gothic" w:hAnsi="Century Gothic"/>
        </w:rPr>
        <w:t>en</w:t>
      </w:r>
      <w:r w:rsidRPr="00C332F5">
        <w:rPr>
          <w:rFonts w:ascii="Century Gothic" w:hAnsi="Century Gothic"/>
        </w:rPr>
        <w:t>s vurdering af, hvad potentialet er, for at danske aktører kan udnytte de tilskuds- og lånemuligheder, der vil være fra EU og den Europæiske Investeringsbank.</w:t>
      </w:r>
    </w:p>
    <w:p w14:paraId="55187760" w14:textId="53F1F577" w:rsidR="00C332F5" w:rsidRPr="00C332F5" w:rsidRDefault="00C332F5" w:rsidP="00C332F5">
      <w:pPr>
        <w:pStyle w:val="ListParagraph"/>
        <w:numPr>
          <w:ilvl w:val="1"/>
          <w:numId w:val="3"/>
        </w:numPr>
        <w:ind w:left="788" w:hanging="431"/>
        <w:contextualSpacing w:val="0"/>
        <w:rPr>
          <w:rFonts w:ascii="Century Gothic" w:hAnsi="Century Gothic"/>
        </w:rPr>
      </w:pPr>
      <w:r w:rsidRPr="00C332F5">
        <w:rPr>
          <w:rFonts w:ascii="Century Gothic" w:hAnsi="Century Gothic"/>
        </w:rPr>
        <w:t xml:space="preserve">Ud fra dette potentiale foreslår REO, at der oprettes et særligt kontor eller enhed, der kan hjælpe danske virksomheder, organisationer, kommuner, boligforeninger, </w:t>
      </w:r>
      <w:proofErr w:type="spellStart"/>
      <w:r w:rsidRPr="00C332F5">
        <w:rPr>
          <w:rFonts w:ascii="Century Gothic" w:hAnsi="Century Gothic"/>
        </w:rPr>
        <w:t>vidensinstitutioner</w:t>
      </w:r>
      <w:proofErr w:type="spellEnd"/>
      <w:r w:rsidRPr="00C332F5">
        <w:rPr>
          <w:rFonts w:ascii="Century Gothic" w:hAnsi="Century Gothic"/>
        </w:rPr>
        <w:t xml:space="preserve"> mv. med at søge de midler, som EU-Kommissionen og den Europæiske Investeringsbank forventes at stille til rådighed. En analyse fra Synergi har tidligere peget på, at e</w:t>
      </w:r>
      <w:r w:rsidR="009C65E7">
        <w:rPr>
          <w:rFonts w:ascii="Century Gothic" w:hAnsi="Century Gothic"/>
        </w:rPr>
        <w:t xml:space="preserve">n stigning i </w:t>
      </w:r>
      <w:r w:rsidR="001A677B">
        <w:rPr>
          <w:rFonts w:ascii="Century Gothic" w:hAnsi="Century Gothic"/>
        </w:rPr>
        <w:t>energieffektiviseringskravet</w:t>
      </w:r>
      <w:r w:rsidRPr="00C332F5">
        <w:rPr>
          <w:rFonts w:ascii="Century Gothic" w:hAnsi="Century Gothic"/>
        </w:rPr>
        <w:t xml:space="preserve"> fra 32,5 </w:t>
      </w:r>
      <w:r w:rsidR="000F20CA">
        <w:rPr>
          <w:rFonts w:ascii="Century Gothic" w:hAnsi="Century Gothic"/>
        </w:rPr>
        <w:t>%</w:t>
      </w:r>
      <w:r w:rsidRPr="00C332F5">
        <w:rPr>
          <w:rFonts w:ascii="Century Gothic" w:hAnsi="Century Gothic"/>
        </w:rPr>
        <w:t xml:space="preserve"> til 40 </w:t>
      </w:r>
      <w:r w:rsidR="000F20CA">
        <w:rPr>
          <w:rFonts w:ascii="Century Gothic" w:hAnsi="Century Gothic"/>
        </w:rPr>
        <w:t>%</w:t>
      </w:r>
      <w:r w:rsidRPr="00C332F5">
        <w:rPr>
          <w:rFonts w:ascii="Century Gothic" w:hAnsi="Century Gothic"/>
        </w:rPr>
        <w:t xml:space="preserve"> </w:t>
      </w:r>
      <w:r w:rsidR="00C94A9F">
        <w:rPr>
          <w:rFonts w:ascii="Century Gothic" w:hAnsi="Century Gothic"/>
        </w:rPr>
        <w:t>kan øge</w:t>
      </w:r>
      <w:r w:rsidRPr="00C332F5">
        <w:rPr>
          <w:rFonts w:ascii="Century Gothic" w:hAnsi="Century Gothic"/>
        </w:rPr>
        <w:t xml:space="preserve"> dansk eksport </w:t>
      </w:r>
      <w:r w:rsidR="00C94A9F">
        <w:rPr>
          <w:rFonts w:ascii="Century Gothic" w:hAnsi="Century Gothic"/>
        </w:rPr>
        <w:t>med</w:t>
      </w:r>
      <w:r w:rsidRPr="00C332F5">
        <w:rPr>
          <w:rFonts w:ascii="Century Gothic" w:hAnsi="Century Gothic"/>
        </w:rPr>
        <w:t xml:space="preserve"> 100 milliarder kr.</w:t>
      </w:r>
      <w:r w:rsidR="00EF3A0D">
        <w:rPr>
          <w:rStyle w:val="FootnoteReference"/>
          <w:rFonts w:ascii="Century Gothic" w:hAnsi="Century Gothic"/>
        </w:rPr>
        <w:footnoteReference w:id="2"/>
      </w:r>
      <w:r w:rsidRPr="00C332F5">
        <w:rPr>
          <w:rFonts w:ascii="Century Gothic" w:hAnsi="Century Gothic"/>
        </w:rPr>
        <w:t xml:space="preserve"> </w:t>
      </w:r>
    </w:p>
    <w:p w14:paraId="70BE4F44" w14:textId="19995424" w:rsidR="00C332F5" w:rsidRPr="00C332F5" w:rsidRDefault="0075620B" w:rsidP="00C332F5">
      <w:pPr>
        <w:pStyle w:val="ListParagraph"/>
        <w:numPr>
          <w:ilvl w:val="1"/>
          <w:numId w:val="3"/>
        </w:numPr>
        <w:ind w:left="788" w:hanging="431"/>
        <w:contextualSpacing w:val="0"/>
        <w:rPr>
          <w:rFonts w:ascii="Century Gothic" w:hAnsi="Century Gothic"/>
        </w:rPr>
      </w:pPr>
      <w:r>
        <w:rPr>
          <w:rFonts w:ascii="Century Gothic" w:hAnsi="Century Gothic"/>
        </w:rPr>
        <w:t xml:space="preserve">REO konstaterer, at </w:t>
      </w:r>
      <w:r w:rsidR="00C332F5" w:rsidRPr="00C332F5">
        <w:rPr>
          <w:rFonts w:ascii="Century Gothic" w:hAnsi="Century Gothic"/>
        </w:rPr>
        <w:t xml:space="preserve">Teknologisk Institut allerede </w:t>
      </w:r>
      <w:r w:rsidR="00550E5A">
        <w:rPr>
          <w:rFonts w:ascii="Century Gothic" w:hAnsi="Century Gothic"/>
        </w:rPr>
        <w:t xml:space="preserve">har </w:t>
      </w:r>
      <w:r w:rsidR="00C332F5" w:rsidRPr="00C332F5">
        <w:rPr>
          <w:rFonts w:ascii="Century Gothic" w:hAnsi="Century Gothic"/>
        </w:rPr>
        <w:t>en enhed, som er specialister i EU-ansøgninger</w:t>
      </w:r>
      <w:r w:rsidR="00E3563B">
        <w:rPr>
          <w:rFonts w:ascii="Century Gothic" w:hAnsi="Century Gothic"/>
        </w:rPr>
        <w:t xml:space="preserve"> og </w:t>
      </w:r>
      <w:r w:rsidR="00B14744">
        <w:rPr>
          <w:rFonts w:ascii="Century Gothic" w:hAnsi="Century Gothic"/>
        </w:rPr>
        <w:t>som tilmed h</w:t>
      </w:r>
      <w:r w:rsidR="00AF70D8">
        <w:rPr>
          <w:rFonts w:ascii="Century Gothic" w:hAnsi="Century Gothic"/>
        </w:rPr>
        <w:t xml:space="preserve">ar </w:t>
      </w:r>
      <w:r w:rsidR="00995739">
        <w:rPr>
          <w:rFonts w:ascii="Century Gothic" w:hAnsi="Century Gothic"/>
        </w:rPr>
        <w:t xml:space="preserve">stor faglighed på energieffektivitetsområdet, </w:t>
      </w:r>
      <w:r w:rsidR="00B14744">
        <w:rPr>
          <w:rFonts w:ascii="Century Gothic" w:hAnsi="Century Gothic"/>
        </w:rPr>
        <w:t xml:space="preserve">da de </w:t>
      </w:r>
      <w:r w:rsidR="008926AA">
        <w:rPr>
          <w:rFonts w:ascii="Century Gothic" w:hAnsi="Century Gothic"/>
        </w:rPr>
        <w:t xml:space="preserve">blandt andet </w:t>
      </w:r>
      <w:r w:rsidR="00B14744">
        <w:rPr>
          <w:rFonts w:ascii="Century Gothic" w:hAnsi="Century Gothic"/>
        </w:rPr>
        <w:t>uddanner de danske</w:t>
      </w:r>
      <w:r w:rsidR="00B14744" w:rsidRPr="00C332F5">
        <w:rPr>
          <w:rFonts w:ascii="Century Gothic" w:hAnsi="Century Gothic"/>
        </w:rPr>
        <w:t xml:space="preserve"> energivejledere</w:t>
      </w:r>
      <w:r w:rsidR="00C332F5" w:rsidRPr="00C332F5">
        <w:rPr>
          <w:rFonts w:ascii="Century Gothic" w:hAnsi="Century Gothic"/>
        </w:rPr>
        <w:t>. REO mener</w:t>
      </w:r>
      <w:r w:rsidR="00BC4A52">
        <w:rPr>
          <w:rFonts w:ascii="Century Gothic" w:hAnsi="Century Gothic"/>
        </w:rPr>
        <w:t xml:space="preserve"> derfor</w:t>
      </w:r>
      <w:r w:rsidR="00C332F5" w:rsidRPr="00C332F5">
        <w:rPr>
          <w:rFonts w:ascii="Century Gothic" w:hAnsi="Century Gothic"/>
        </w:rPr>
        <w:t>, de</w:t>
      </w:r>
      <w:r w:rsidR="00E165E9">
        <w:rPr>
          <w:rFonts w:ascii="Century Gothic" w:hAnsi="Century Gothic"/>
        </w:rPr>
        <w:t xml:space="preserve">r vil være god mulighed for at </w:t>
      </w:r>
      <w:r w:rsidR="00C846DA">
        <w:rPr>
          <w:rFonts w:ascii="Century Gothic" w:hAnsi="Century Gothic"/>
        </w:rPr>
        <w:t>få kvalificerede b</w:t>
      </w:r>
      <w:r w:rsidR="00492290">
        <w:rPr>
          <w:rFonts w:ascii="Century Gothic" w:hAnsi="Century Gothic"/>
        </w:rPr>
        <w:t>ydere til at løfte</w:t>
      </w:r>
      <w:r w:rsidR="00146F55">
        <w:rPr>
          <w:rFonts w:ascii="Century Gothic" w:hAnsi="Century Gothic"/>
        </w:rPr>
        <w:t xml:space="preserve"> opgaven</w:t>
      </w:r>
      <w:r w:rsidR="00C846DA">
        <w:rPr>
          <w:rFonts w:ascii="Century Gothic" w:hAnsi="Century Gothic"/>
        </w:rPr>
        <w:t xml:space="preserve">, hvis en sådan enhed </w:t>
      </w:r>
      <w:r w:rsidR="00146F55">
        <w:rPr>
          <w:rFonts w:ascii="Century Gothic" w:hAnsi="Century Gothic"/>
        </w:rPr>
        <w:t>sendes i udbud</w:t>
      </w:r>
      <w:r w:rsidR="0089705A">
        <w:rPr>
          <w:rFonts w:ascii="Century Gothic" w:hAnsi="Century Gothic"/>
        </w:rPr>
        <w:t xml:space="preserve">. </w:t>
      </w:r>
    </w:p>
    <w:p w14:paraId="356C774D" w14:textId="7D327610" w:rsidR="00C332F5" w:rsidRPr="000B7C2C" w:rsidRDefault="009A79FC" w:rsidP="00C332F5">
      <w:pPr>
        <w:pStyle w:val="Heading1"/>
        <w:numPr>
          <w:ilvl w:val="0"/>
          <w:numId w:val="3"/>
        </w:numPr>
        <w:tabs>
          <w:tab w:val="num" w:pos="360"/>
        </w:tabs>
        <w:ind w:left="0" w:firstLine="0"/>
        <w:rPr>
          <w:rFonts w:ascii="Century Gothic" w:hAnsi="Century Gothic"/>
          <w:color w:val="276E8B"/>
          <w:sz w:val="24"/>
          <w:szCs w:val="24"/>
        </w:rPr>
      </w:pPr>
      <w:r>
        <w:rPr>
          <w:rFonts w:ascii="Century Gothic" w:hAnsi="Century Gothic"/>
          <w:color w:val="276E8B"/>
          <w:sz w:val="24"/>
          <w:szCs w:val="24"/>
        </w:rPr>
        <w:t>Energieffektivisering af den offentlige bygningsmasse</w:t>
      </w:r>
    </w:p>
    <w:p w14:paraId="47468E6C" w14:textId="7F2AD43E" w:rsidR="00274823" w:rsidRPr="004E12D3" w:rsidRDefault="00D16C32" w:rsidP="004E12D3">
      <w:pPr>
        <w:pStyle w:val="ListParagraph"/>
        <w:numPr>
          <w:ilvl w:val="1"/>
          <w:numId w:val="3"/>
        </w:numPr>
        <w:ind w:left="788" w:hanging="431"/>
        <w:contextualSpacing w:val="0"/>
        <w:rPr>
          <w:rFonts w:ascii="Century Gothic" w:hAnsi="Century Gothic"/>
        </w:rPr>
      </w:pPr>
      <w:r w:rsidRPr="00D16C32">
        <w:rPr>
          <w:rFonts w:ascii="Century Gothic" w:hAnsi="Century Gothic"/>
        </w:rPr>
        <w:t xml:space="preserve">REO </w:t>
      </w:r>
      <w:r w:rsidR="00573653">
        <w:rPr>
          <w:rFonts w:ascii="Century Gothic" w:hAnsi="Century Gothic"/>
        </w:rPr>
        <w:t>støtter</w:t>
      </w:r>
      <w:r w:rsidRPr="00D16C32">
        <w:rPr>
          <w:rFonts w:ascii="Century Gothic" w:hAnsi="Century Gothic"/>
        </w:rPr>
        <w:t xml:space="preserve">, at alle offentlige bygninger skal renoveres med en rate på 3 </w:t>
      </w:r>
      <w:r w:rsidR="00F93C48">
        <w:rPr>
          <w:rFonts w:ascii="Century Gothic" w:hAnsi="Century Gothic"/>
        </w:rPr>
        <w:t>%</w:t>
      </w:r>
      <w:r w:rsidRPr="00D16C32">
        <w:rPr>
          <w:rFonts w:ascii="Century Gothic" w:hAnsi="Century Gothic"/>
        </w:rPr>
        <w:t xml:space="preserve"> af bygningsmassen årligt. På den baggrund anbefaler REO, at </w:t>
      </w:r>
      <w:r w:rsidR="00675F96" w:rsidRPr="00FC3C1F">
        <w:rPr>
          <w:rFonts w:ascii="Century Gothic" w:hAnsi="Century Gothic"/>
        </w:rPr>
        <w:t>planlægning af renoveringsindsatsen tager udgangspunkt i de igangværende kommunale initiativer i Nøgletalssamarbejdet for kommunale ejendomme og Databaseret Energiledelse, jf. Økonomiaftalen for 2022</w:t>
      </w:r>
      <w:r w:rsidR="00675F96">
        <w:rPr>
          <w:rFonts w:ascii="Century Gothic" w:hAnsi="Century Gothic"/>
        </w:rPr>
        <w:t>. Med udgangspunkt i disse initiativer og en forbedret energimærkning, kan der gives</w:t>
      </w:r>
      <w:r w:rsidRPr="00D16C32">
        <w:rPr>
          <w:rFonts w:ascii="Century Gothic" w:hAnsi="Century Gothic"/>
        </w:rPr>
        <w:t xml:space="preserve"> kvalificerede bud på investeringsbehov og et overblik over omkostningseffektive renoveringsmuligheder</w:t>
      </w:r>
      <w:r w:rsidR="00685599">
        <w:rPr>
          <w:rFonts w:ascii="Century Gothic" w:hAnsi="Century Gothic"/>
        </w:rPr>
        <w:t xml:space="preserve">. </w:t>
      </w:r>
      <w:r w:rsidR="000742F0">
        <w:rPr>
          <w:rFonts w:ascii="Century Gothic" w:hAnsi="Century Gothic"/>
        </w:rPr>
        <w:t xml:space="preserve">Indsatsen bør </w:t>
      </w:r>
      <w:r w:rsidR="000A61CD">
        <w:rPr>
          <w:rFonts w:ascii="Century Gothic" w:hAnsi="Century Gothic"/>
        </w:rPr>
        <w:t>have</w:t>
      </w:r>
      <w:r w:rsidR="00615478">
        <w:rPr>
          <w:rFonts w:ascii="Century Gothic" w:hAnsi="Century Gothic"/>
        </w:rPr>
        <w:t xml:space="preserve"> en helhedsorienteret tilgang til </w:t>
      </w:r>
      <w:r w:rsidR="00943903">
        <w:rPr>
          <w:rFonts w:ascii="Century Gothic" w:hAnsi="Century Gothic"/>
        </w:rPr>
        <w:t>bygningers ressourceoptimering</w:t>
      </w:r>
      <w:r w:rsidR="00EA753B">
        <w:rPr>
          <w:rFonts w:ascii="Century Gothic" w:hAnsi="Century Gothic"/>
        </w:rPr>
        <w:t xml:space="preserve">, </w:t>
      </w:r>
      <w:r w:rsidR="00EA753B" w:rsidRPr="00EA753B">
        <w:rPr>
          <w:rFonts w:ascii="Century Gothic" w:hAnsi="Century Gothic"/>
        </w:rPr>
        <w:t xml:space="preserve">idet </w:t>
      </w:r>
      <w:r w:rsidR="003F2EC3">
        <w:rPr>
          <w:rFonts w:ascii="Century Gothic" w:hAnsi="Century Gothic"/>
        </w:rPr>
        <w:t xml:space="preserve">f.eks. </w:t>
      </w:r>
      <w:r w:rsidR="00EA753B" w:rsidRPr="00EA753B">
        <w:rPr>
          <w:rFonts w:ascii="Century Gothic" w:hAnsi="Century Gothic"/>
        </w:rPr>
        <w:t>et ensidigt fokus på energieffektivitet uforvarende kan betyde en forringelse af luftkvaliteten, eksempelvis i ældre, eksisterende bygninger</w:t>
      </w:r>
      <w:r w:rsidRPr="00D16C32">
        <w:rPr>
          <w:rFonts w:ascii="Century Gothic" w:hAnsi="Century Gothic"/>
        </w:rPr>
        <w:t xml:space="preserve">. </w:t>
      </w:r>
      <w:r w:rsidR="00547CF8">
        <w:rPr>
          <w:rFonts w:ascii="Century Gothic" w:hAnsi="Century Gothic"/>
        </w:rPr>
        <w:t>End</w:t>
      </w:r>
      <w:r w:rsidR="00A61FA7">
        <w:rPr>
          <w:rFonts w:ascii="Century Gothic" w:hAnsi="Century Gothic"/>
        </w:rPr>
        <w:t>elig</w:t>
      </w:r>
      <w:r w:rsidR="00933AE8">
        <w:rPr>
          <w:rFonts w:ascii="Century Gothic" w:hAnsi="Century Gothic"/>
        </w:rPr>
        <w:t xml:space="preserve"> </w:t>
      </w:r>
      <w:r w:rsidRPr="00D16C32">
        <w:rPr>
          <w:rFonts w:ascii="Century Gothic" w:hAnsi="Century Gothic"/>
        </w:rPr>
        <w:t xml:space="preserve">bør </w:t>
      </w:r>
      <w:r w:rsidR="00A61FA7">
        <w:rPr>
          <w:rFonts w:ascii="Century Gothic" w:hAnsi="Century Gothic"/>
        </w:rPr>
        <w:t>der</w:t>
      </w:r>
      <w:r w:rsidRPr="00D16C32">
        <w:rPr>
          <w:rFonts w:ascii="Century Gothic" w:hAnsi="Century Gothic"/>
        </w:rPr>
        <w:t xml:space="preserve"> anvendes livscyklusvurderinger til at vurdere mulighederne for at reducere CO</w:t>
      </w:r>
      <w:r w:rsidRPr="00305579">
        <w:rPr>
          <w:rFonts w:ascii="Century Gothic" w:hAnsi="Century Gothic"/>
          <w:vertAlign w:val="subscript"/>
        </w:rPr>
        <w:t>2</w:t>
      </w:r>
      <w:r w:rsidRPr="00D16C32">
        <w:rPr>
          <w:rFonts w:ascii="Century Gothic" w:hAnsi="Century Gothic"/>
        </w:rPr>
        <w:t xml:space="preserve">-aftrykket som følge af renoveringsindsatsen. </w:t>
      </w:r>
    </w:p>
    <w:p w14:paraId="7527BF30" w14:textId="291D5386" w:rsidR="00D16C32" w:rsidRPr="00D16C32" w:rsidRDefault="00D16C32" w:rsidP="00D16C32">
      <w:pPr>
        <w:pStyle w:val="ListParagraph"/>
        <w:numPr>
          <w:ilvl w:val="1"/>
          <w:numId w:val="3"/>
        </w:numPr>
        <w:ind w:left="788" w:hanging="431"/>
        <w:contextualSpacing w:val="0"/>
        <w:rPr>
          <w:rFonts w:ascii="Century Gothic" w:hAnsi="Century Gothic"/>
        </w:rPr>
      </w:pPr>
      <w:r w:rsidRPr="00D16C32">
        <w:rPr>
          <w:rFonts w:ascii="Century Gothic" w:hAnsi="Century Gothic"/>
        </w:rPr>
        <w:t xml:space="preserve">Metoder og databehandling bør </w:t>
      </w:r>
      <w:r w:rsidR="007B1987">
        <w:rPr>
          <w:rFonts w:ascii="Century Gothic" w:hAnsi="Century Gothic"/>
        </w:rPr>
        <w:t>derudover</w:t>
      </w:r>
      <w:r w:rsidRPr="00D16C32">
        <w:rPr>
          <w:rFonts w:ascii="Century Gothic" w:hAnsi="Century Gothic"/>
        </w:rPr>
        <w:t xml:space="preserve"> tage udgangspunkt i allerede tilgængelig viden fra energimærkerapporter og hos de offentlige bygningsejere, være i overensstemmelse med digital logbook og </w:t>
      </w:r>
      <w:proofErr w:type="spellStart"/>
      <w:r w:rsidRPr="00D16C32">
        <w:rPr>
          <w:rFonts w:ascii="Century Gothic" w:hAnsi="Century Gothic"/>
        </w:rPr>
        <w:t>building</w:t>
      </w:r>
      <w:proofErr w:type="spellEnd"/>
      <w:r w:rsidRPr="00D16C32">
        <w:rPr>
          <w:rFonts w:ascii="Century Gothic" w:hAnsi="Century Gothic"/>
        </w:rPr>
        <w:t xml:space="preserve"> renovation </w:t>
      </w:r>
      <w:proofErr w:type="spellStart"/>
      <w:r w:rsidRPr="00D16C32">
        <w:rPr>
          <w:rFonts w:ascii="Century Gothic" w:hAnsi="Century Gothic"/>
        </w:rPr>
        <w:t>passport</w:t>
      </w:r>
      <w:proofErr w:type="spellEnd"/>
      <w:r w:rsidRPr="00D16C32">
        <w:rPr>
          <w:rFonts w:ascii="Century Gothic" w:hAnsi="Century Gothic"/>
        </w:rPr>
        <w:t xml:space="preserve"> for de enkelte bygninger og kunne danne udgangspunkt for en samlet strategi for energirenovering af den offentlige bygningsmasse. Analysen vil endvidere være en nyttig forberedelse til fremtidige minimumsstandarder for energimæssig ydeevne for offentlige bygningsejere.</w:t>
      </w:r>
    </w:p>
    <w:p w14:paraId="7043A1AD" w14:textId="41794760" w:rsidR="00D16C32" w:rsidRPr="000B7C2C" w:rsidRDefault="00D16C32" w:rsidP="00D16C32">
      <w:pPr>
        <w:pStyle w:val="Heading1"/>
        <w:numPr>
          <w:ilvl w:val="0"/>
          <w:numId w:val="3"/>
        </w:numPr>
        <w:tabs>
          <w:tab w:val="num" w:pos="360"/>
        </w:tabs>
        <w:ind w:left="0" w:firstLine="0"/>
        <w:rPr>
          <w:rFonts w:ascii="Century Gothic" w:hAnsi="Century Gothic"/>
          <w:color w:val="276E8B"/>
          <w:sz w:val="24"/>
          <w:szCs w:val="24"/>
        </w:rPr>
      </w:pPr>
      <w:r>
        <w:rPr>
          <w:rFonts w:ascii="Century Gothic" w:hAnsi="Century Gothic"/>
          <w:color w:val="276E8B"/>
          <w:sz w:val="24"/>
          <w:szCs w:val="24"/>
        </w:rPr>
        <w:t>Genbrug og genanvendelse af byggematerialer</w:t>
      </w:r>
      <w:r w:rsidR="008F3A8B">
        <w:rPr>
          <w:rFonts w:ascii="Century Gothic" w:hAnsi="Century Gothic"/>
          <w:color w:val="276E8B"/>
          <w:sz w:val="24"/>
          <w:szCs w:val="24"/>
        </w:rPr>
        <w:t xml:space="preserve"> </w:t>
      </w:r>
      <w:r w:rsidR="00B57CDD">
        <w:rPr>
          <w:rFonts w:ascii="Century Gothic" w:hAnsi="Century Gothic"/>
          <w:color w:val="276E8B"/>
          <w:sz w:val="24"/>
          <w:szCs w:val="24"/>
        </w:rPr>
        <w:t>ifm.</w:t>
      </w:r>
      <w:r w:rsidR="008F3A8B">
        <w:rPr>
          <w:rFonts w:ascii="Century Gothic" w:hAnsi="Century Gothic"/>
          <w:color w:val="276E8B"/>
          <w:sz w:val="24"/>
          <w:szCs w:val="24"/>
        </w:rPr>
        <w:t xml:space="preserve"> </w:t>
      </w:r>
      <w:r w:rsidR="007D2D34">
        <w:rPr>
          <w:rFonts w:ascii="Century Gothic" w:hAnsi="Century Gothic"/>
          <w:color w:val="276E8B"/>
          <w:sz w:val="24"/>
          <w:szCs w:val="24"/>
        </w:rPr>
        <w:t>b</w:t>
      </w:r>
      <w:r w:rsidR="008F3A8B">
        <w:rPr>
          <w:rFonts w:ascii="Century Gothic" w:hAnsi="Century Gothic"/>
          <w:color w:val="276E8B"/>
          <w:sz w:val="24"/>
          <w:szCs w:val="24"/>
        </w:rPr>
        <w:t>æredygtig renovering</w:t>
      </w:r>
    </w:p>
    <w:p w14:paraId="68F7AFF1" w14:textId="5B12ACDC" w:rsidR="00544EBD" w:rsidRPr="00544EBD" w:rsidRDefault="00544EBD" w:rsidP="00544EBD">
      <w:pPr>
        <w:pStyle w:val="ListParagraph"/>
        <w:numPr>
          <w:ilvl w:val="1"/>
          <w:numId w:val="3"/>
        </w:numPr>
        <w:ind w:left="788" w:hanging="431"/>
        <w:contextualSpacing w:val="0"/>
        <w:rPr>
          <w:rFonts w:ascii="Century Gothic" w:hAnsi="Century Gothic"/>
        </w:rPr>
      </w:pPr>
      <w:r w:rsidRPr="00544EBD">
        <w:rPr>
          <w:rFonts w:ascii="Century Gothic" w:hAnsi="Century Gothic"/>
        </w:rPr>
        <w:t>Det er vigtigt, at arbejdet med at udvikle forskellige løsninger og standarder inden for genbrug</w:t>
      </w:r>
      <w:r w:rsidR="008B4A09">
        <w:rPr>
          <w:rFonts w:ascii="Century Gothic" w:hAnsi="Century Gothic"/>
        </w:rPr>
        <w:t>,</w:t>
      </w:r>
      <w:r w:rsidRPr="00544EBD">
        <w:rPr>
          <w:rFonts w:ascii="Century Gothic" w:hAnsi="Century Gothic"/>
        </w:rPr>
        <w:t xml:space="preserve"> genanvendelse og nyttiggørelse af byggematerialer</w:t>
      </w:r>
      <w:r w:rsidR="008F4273">
        <w:rPr>
          <w:rFonts w:ascii="Century Gothic" w:hAnsi="Century Gothic"/>
        </w:rPr>
        <w:t>,</w:t>
      </w:r>
      <w:r w:rsidRPr="00544EBD">
        <w:rPr>
          <w:rFonts w:ascii="Century Gothic" w:hAnsi="Century Gothic"/>
        </w:rPr>
        <w:t xml:space="preserve"> </w:t>
      </w:r>
      <w:r w:rsidR="0022067C">
        <w:rPr>
          <w:rFonts w:ascii="Century Gothic" w:hAnsi="Century Gothic"/>
        </w:rPr>
        <w:t>med henblik på energieffektivisering og reduktion af CO</w:t>
      </w:r>
      <w:r w:rsidR="007D2D34" w:rsidRPr="007D2D34">
        <w:rPr>
          <w:rFonts w:ascii="Century Gothic" w:hAnsi="Century Gothic"/>
          <w:vertAlign w:val="subscript"/>
        </w:rPr>
        <w:t>2</w:t>
      </w:r>
      <w:r w:rsidR="007D2D34">
        <w:rPr>
          <w:rFonts w:ascii="Century Gothic" w:hAnsi="Century Gothic"/>
        </w:rPr>
        <w:t>-aftryk ved renovering af eksisterende bygninger</w:t>
      </w:r>
      <w:r w:rsidR="008F4273">
        <w:rPr>
          <w:rFonts w:ascii="Century Gothic" w:hAnsi="Century Gothic"/>
        </w:rPr>
        <w:t>,</w:t>
      </w:r>
      <w:r w:rsidRPr="00544EBD">
        <w:rPr>
          <w:rFonts w:ascii="Century Gothic" w:hAnsi="Century Gothic"/>
        </w:rPr>
        <w:t xml:space="preserve"> bygger på et valideret grundlag</w:t>
      </w:r>
      <w:r w:rsidR="008259FB">
        <w:rPr>
          <w:rFonts w:ascii="Century Gothic" w:hAnsi="Century Gothic"/>
        </w:rPr>
        <w:t>. D</w:t>
      </w:r>
      <w:r w:rsidRPr="00544EBD">
        <w:rPr>
          <w:rFonts w:ascii="Century Gothic" w:hAnsi="Century Gothic"/>
        </w:rPr>
        <w:t>erfor anbefaler REO:</w:t>
      </w:r>
    </w:p>
    <w:p w14:paraId="7047A697" w14:textId="72808C93" w:rsidR="00601189" w:rsidRDefault="00544EBD" w:rsidP="00601189">
      <w:pPr>
        <w:pStyle w:val="ListParagraph"/>
        <w:numPr>
          <w:ilvl w:val="0"/>
          <w:numId w:val="4"/>
        </w:numPr>
        <w:contextualSpacing w:val="0"/>
        <w:rPr>
          <w:rFonts w:ascii="Century Gothic" w:hAnsi="Century Gothic"/>
        </w:rPr>
      </w:pPr>
      <w:r w:rsidRPr="00544EBD">
        <w:rPr>
          <w:rFonts w:ascii="Century Gothic" w:hAnsi="Century Gothic"/>
        </w:rPr>
        <w:t>At kortlægge og beregne potentialerne for genbrug af de allerede indbyggede byggematerialer, samt udpege muligheder for genbrug af byggematerialer, f</w:t>
      </w:r>
      <w:r w:rsidR="00C80B55">
        <w:rPr>
          <w:rFonts w:ascii="Century Gothic" w:hAnsi="Century Gothic"/>
        </w:rPr>
        <w:t>.eks.</w:t>
      </w:r>
      <w:r w:rsidRPr="00544EBD">
        <w:rPr>
          <w:rFonts w:ascii="Century Gothic" w:hAnsi="Century Gothic"/>
        </w:rPr>
        <w:t xml:space="preserve"> til sekundære bygninger og øget genbrug af restmaterialer fra byggepladser</w:t>
      </w:r>
    </w:p>
    <w:p w14:paraId="240A136F" w14:textId="77777777" w:rsidR="00601189" w:rsidRDefault="00544EBD" w:rsidP="00601189">
      <w:pPr>
        <w:pStyle w:val="ListParagraph"/>
        <w:numPr>
          <w:ilvl w:val="0"/>
          <w:numId w:val="4"/>
        </w:numPr>
        <w:contextualSpacing w:val="0"/>
        <w:rPr>
          <w:rFonts w:ascii="Century Gothic" w:hAnsi="Century Gothic"/>
        </w:rPr>
      </w:pPr>
      <w:r w:rsidRPr="00601189">
        <w:rPr>
          <w:rFonts w:ascii="Century Gothic" w:hAnsi="Century Gothic"/>
        </w:rPr>
        <w:t>At kortlægge potentialerne for øget genanvendelse af byggematerialer, således at en større del af de materialer, der i dag nyttiggøres eller deponeres på anden vis, genanvendes til nye byggematerialer</w:t>
      </w:r>
    </w:p>
    <w:p w14:paraId="7CC14E6E" w14:textId="77777777" w:rsidR="00601189" w:rsidRDefault="00544EBD" w:rsidP="00601189">
      <w:pPr>
        <w:pStyle w:val="ListParagraph"/>
        <w:numPr>
          <w:ilvl w:val="0"/>
          <w:numId w:val="4"/>
        </w:numPr>
        <w:contextualSpacing w:val="0"/>
        <w:rPr>
          <w:rFonts w:ascii="Century Gothic" w:hAnsi="Century Gothic"/>
        </w:rPr>
      </w:pPr>
      <w:r w:rsidRPr="00601189">
        <w:rPr>
          <w:rFonts w:ascii="Century Gothic" w:hAnsi="Century Gothic"/>
        </w:rPr>
        <w:t>At kortlægge eksempler på industrielle løsninger på genbrug og -anvendelse til inspiration generelt og også for et eventuelt standardiseringsarbejde</w:t>
      </w:r>
    </w:p>
    <w:p w14:paraId="509BA4D8" w14:textId="7C507127" w:rsidR="00601189" w:rsidRDefault="00544EBD" w:rsidP="00601189">
      <w:pPr>
        <w:pStyle w:val="ListParagraph"/>
        <w:numPr>
          <w:ilvl w:val="0"/>
          <w:numId w:val="4"/>
        </w:numPr>
        <w:contextualSpacing w:val="0"/>
        <w:rPr>
          <w:rFonts w:ascii="Century Gothic" w:hAnsi="Century Gothic"/>
        </w:rPr>
      </w:pPr>
      <w:r w:rsidRPr="00601189">
        <w:rPr>
          <w:rFonts w:ascii="Century Gothic" w:hAnsi="Century Gothic"/>
        </w:rPr>
        <w:t xml:space="preserve">At kortlægge barrierer for genbrug af byggematerialer, herunder udfordringer med kvalitet, lagermuligheder og garantiforhold </w:t>
      </w:r>
    </w:p>
    <w:p w14:paraId="3511EA64" w14:textId="25026EF3" w:rsidR="00E82378" w:rsidRDefault="00E82378" w:rsidP="00601189">
      <w:pPr>
        <w:pStyle w:val="ListParagraph"/>
        <w:numPr>
          <w:ilvl w:val="0"/>
          <w:numId w:val="4"/>
        </w:numPr>
        <w:contextualSpacing w:val="0"/>
        <w:rPr>
          <w:rFonts w:ascii="Century Gothic" w:hAnsi="Century Gothic"/>
        </w:rPr>
      </w:pPr>
      <w:r>
        <w:rPr>
          <w:rFonts w:ascii="Century Gothic" w:hAnsi="Century Gothic"/>
        </w:rPr>
        <w:t xml:space="preserve">At se </w:t>
      </w:r>
      <w:r w:rsidR="00FA0F8C">
        <w:rPr>
          <w:rFonts w:ascii="Century Gothic" w:hAnsi="Century Gothic"/>
        </w:rPr>
        <w:t>særligt på uønskede kemikalier og andre farlige stoffer</w:t>
      </w:r>
      <w:r w:rsidR="008A54A4">
        <w:rPr>
          <w:rFonts w:ascii="Century Gothic" w:hAnsi="Century Gothic"/>
        </w:rPr>
        <w:t xml:space="preserve"> og materialer</w:t>
      </w:r>
    </w:p>
    <w:p w14:paraId="1847663F" w14:textId="25386DFD" w:rsidR="00544EBD" w:rsidRPr="00601189" w:rsidRDefault="00544EBD" w:rsidP="00601189">
      <w:pPr>
        <w:pStyle w:val="ListParagraph"/>
        <w:numPr>
          <w:ilvl w:val="0"/>
          <w:numId w:val="4"/>
        </w:numPr>
        <w:contextualSpacing w:val="0"/>
        <w:rPr>
          <w:rFonts w:ascii="Century Gothic" w:hAnsi="Century Gothic"/>
        </w:rPr>
      </w:pPr>
      <w:r w:rsidRPr="00601189">
        <w:rPr>
          <w:rFonts w:ascii="Century Gothic" w:hAnsi="Century Gothic"/>
        </w:rPr>
        <w:t xml:space="preserve">At begrænse mængden af byggeaffald og materialespild og bygge i en sådan kvalitet, at bygningerne står i længere tid, hvorved byggematerialerne </w:t>
      </w:r>
      <w:r w:rsidR="00464D9A" w:rsidRPr="00601189">
        <w:rPr>
          <w:rFonts w:ascii="Century Gothic" w:hAnsi="Century Gothic"/>
        </w:rPr>
        <w:t xml:space="preserve">også </w:t>
      </w:r>
      <w:r w:rsidRPr="00601189">
        <w:rPr>
          <w:rFonts w:ascii="Century Gothic" w:hAnsi="Century Gothic"/>
        </w:rPr>
        <w:t xml:space="preserve">bliver i </w:t>
      </w:r>
      <w:r w:rsidR="00F1527D">
        <w:rPr>
          <w:rFonts w:ascii="Century Gothic" w:hAnsi="Century Gothic"/>
        </w:rPr>
        <w:t>bygninger</w:t>
      </w:r>
      <w:r w:rsidR="00464D9A">
        <w:rPr>
          <w:rFonts w:ascii="Century Gothic" w:hAnsi="Century Gothic"/>
        </w:rPr>
        <w:t>ne</w:t>
      </w:r>
    </w:p>
    <w:p w14:paraId="49472A52" w14:textId="260E0317" w:rsidR="000A2BAC" w:rsidRDefault="00C23096" w:rsidP="00544EBD">
      <w:pPr>
        <w:pStyle w:val="ListParagraph"/>
        <w:numPr>
          <w:ilvl w:val="1"/>
          <w:numId w:val="3"/>
        </w:numPr>
        <w:ind w:left="788" w:hanging="431"/>
        <w:contextualSpacing w:val="0"/>
        <w:rPr>
          <w:rFonts w:ascii="Century Gothic" w:hAnsi="Century Gothic"/>
        </w:rPr>
      </w:pPr>
      <w:r>
        <w:rPr>
          <w:rFonts w:ascii="Century Gothic" w:hAnsi="Century Gothic"/>
        </w:rPr>
        <w:t xml:space="preserve">REO mener, </w:t>
      </w:r>
      <w:r w:rsidR="00955EEF">
        <w:rPr>
          <w:rFonts w:ascii="Century Gothic" w:hAnsi="Century Gothic"/>
        </w:rPr>
        <w:t xml:space="preserve">at </w:t>
      </w:r>
      <w:r w:rsidR="00544EBD" w:rsidRPr="00544EBD">
        <w:rPr>
          <w:rFonts w:ascii="Century Gothic" w:hAnsi="Century Gothic"/>
        </w:rPr>
        <w:t xml:space="preserve">”Handlingsplan for cirkulær økonomi, den nationale plan for forebyggelse og håndtering af affald 2020-2032” er et vigtigt element </w:t>
      </w:r>
      <w:r w:rsidR="0056733D">
        <w:rPr>
          <w:rFonts w:ascii="Century Gothic" w:hAnsi="Century Gothic"/>
        </w:rPr>
        <w:t>for både</w:t>
      </w:r>
      <w:r w:rsidR="00544EBD" w:rsidRPr="00544EBD">
        <w:rPr>
          <w:rFonts w:ascii="Century Gothic" w:hAnsi="Century Gothic"/>
        </w:rPr>
        <w:t xml:space="preserve"> at realisere </w:t>
      </w:r>
      <w:r w:rsidR="00EA6D67">
        <w:rPr>
          <w:rFonts w:ascii="Century Gothic" w:hAnsi="Century Gothic"/>
        </w:rPr>
        <w:t>K</w:t>
      </w:r>
      <w:r w:rsidR="00544EBD" w:rsidRPr="00544EBD">
        <w:rPr>
          <w:rFonts w:ascii="Century Gothic" w:hAnsi="Century Gothic"/>
        </w:rPr>
        <w:t xml:space="preserve">limalovens mål om at reducere udslippet af klimagasser med 70 pct. i 2030, at efterleve flere af FN’s Verdensmål samt </w:t>
      </w:r>
      <w:r w:rsidR="009F5BD6">
        <w:rPr>
          <w:rFonts w:ascii="Century Gothic" w:hAnsi="Century Gothic"/>
        </w:rPr>
        <w:t xml:space="preserve">at </w:t>
      </w:r>
      <w:r w:rsidR="00544EBD" w:rsidRPr="00544EBD">
        <w:rPr>
          <w:rFonts w:ascii="Century Gothic" w:hAnsi="Century Gothic"/>
        </w:rPr>
        <w:t>bidrage til målopfyldelsen af flere danske verdensmål-indikatorer fra Vores Mål-rapporten. Handl</w:t>
      </w:r>
      <w:r w:rsidR="006128D3">
        <w:rPr>
          <w:rFonts w:ascii="Century Gothic" w:hAnsi="Century Gothic"/>
        </w:rPr>
        <w:t>ings</w:t>
      </w:r>
      <w:r w:rsidR="00544EBD" w:rsidRPr="00544EBD">
        <w:rPr>
          <w:rFonts w:ascii="Century Gothic" w:hAnsi="Century Gothic"/>
        </w:rPr>
        <w:t xml:space="preserve">planen i sin nuværende form bør genbesøges med det formål at sikre, at denne indeholder alle nødvendige tiltag for opfyldelse af </w:t>
      </w:r>
      <w:r w:rsidR="00EA6D67">
        <w:rPr>
          <w:rFonts w:ascii="Century Gothic" w:hAnsi="Century Gothic"/>
        </w:rPr>
        <w:t>K</w:t>
      </w:r>
      <w:r w:rsidR="006128D3">
        <w:rPr>
          <w:rFonts w:ascii="Century Gothic" w:hAnsi="Century Gothic"/>
        </w:rPr>
        <w:t>limalovens</w:t>
      </w:r>
      <w:r w:rsidR="00544EBD" w:rsidRPr="00544EBD">
        <w:rPr>
          <w:rFonts w:ascii="Century Gothic" w:hAnsi="Century Gothic"/>
        </w:rPr>
        <w:t xml:space="preserve"> målsætning. </w:t>
      </w:r>
    </w:p>
    <w:p w14:paraId="062A49BE" w14:textId="1FE50148" w:rsidR="00544EBD" w:rsidRPr="007D7049" w:rsidRDefault="00544EBD" w:rsidP="007D7049">
      <w:pPr>
        <w:pStyle w:val="ListParagraph"/>
        <w:numPr>
          <w:ilvl w:val="1"/>
          <w:numId w:val="3"/>
        </w:numPr>
        <w:ind w:left="788" w:hanging="431"/>
        <w:contextualSpacing w:val="0"/>
        <w:rPr>
          <w:rFonts w:ascii="Century Gothic" w:hAnsi="Century Gothic"/>
        </w:rPr>
      </w:pPr>
      <w:r w:rsidRPr="007D7049">
        <w:rPr>
          <w:rFonts w:ascii="Century Gothic" w:hAnsi="Century Gothic"/>
        </w:rPr>
        <w:t>REO mener, at der bør udarbejdes mål og delmål for de konkrete initiativer som nævnes i handl</w:t>
      </w:r>
      <w:r w:rsidR="0068407C" w:rsidRPr="007D7049">
        <w:rPr>
          <w:rFonts w:ascii="Century Gothic" w:hAnsi="Century Gothic"/>
        </w:rPr>
        <w:t>ings</w:t>
      </w:r>
      <w:r w:rsidRPr="007D7049">
        <w:rPr>
          <w:rFonts w:ascii="Century Gothic" w:hAnsi="Century Gothic"/>
        </w:rPr>
        <w:t xml:space="preserve">planen, som samlet viser, at initiativerne er med til at bidrage tilstrækkeligt til målsætningen i Klimaloven. Derudover bør der beskrives yderligere tiltag eller områder, som vil være nødvendige for på sigt at øge </w:t>
      </w:r>
      <w:r w:rsidR="00633463" w:rsidRPr="007D7049">
        <w:rPr>
          <w:rFonts w:ascii="Century Gothic" w:hAnsi="Century Gothic"/>
        </w:rPr>
        <w:t xml:space="preserve">maksimal </w:t>
      </w:r>
      <w:r w:rsidR="00A93331" w:rsidRPr="007D7049">
        <w:rPr>
          <w:rFonts w:ascii="Century Gothic" w:hAnsi="Century Gothic"/>
        </w:rPr>
        <w:t>affaldsforebyggelse og gen</w:t>
      </w:r>
      <w:r w:rsidRPr="007D7049">
        <w:rPr>
          <w:rFonts w:ascii="Century Gothic" w:hAnsi="Century Gothic"/>
        </w:rPr>
        <w:t>anvendelse af byggematerialer. Analyser og opdatering af handlingsplan bør udarbejdes i tæt samarbejde med hele byggebranchen.</w:t>
      </w:r>
    </w:p>
    <w:p w14:paraId="5A4B7B4A" w14:textId="566758D1" w:rsidR="00601189" w:rsidRPr="000B7C2C" w:rsidRDefault="00601189" w:rsidP="00601189">
      <w:pPr>
        <w:pStyle w:val="Heading1"/>
        <w:numPr>
          <w:ilvl w:val="0"/>
          <w:numId w:val="3"/>
        </w:numPr>
        <w:tabs>
          <w:tab w:val="num" w:pos="360"/>
        </w:tabs>
        <w:ind w:left="0" w:firstLine="0"/>
        <w:rPr>
          <w:rFonts w:ascii="Century Gothic" w:hAnsi="Century Gothic"/>
          <w:color w:val="276E8B"/>
          <w:sz w:val="24"/>
          <w:szCs w:val="24"/>
        </w:rPr>
      </w:pPr>
      <w:r>
        <w:rPr>
          <w:rFonts w:ascii="Century Gothic" w:hAnsi="Century Gothic"/>
          <w:color w:val="276E8B"/>
          <w:sz w:val="24"/>
          <w:szCs w:val="24"/>
        </w:rPr>
        <w:t>Anvende renovering til at bekæmpe energifattigdom og sikre adgang til sunde almene bygninger</w:t>
      </w:r>
    </w:p>
    <w:p w14:paraId="79865509" w14:textId="13A054E4" w:rsidR="009B1663" w:rsidRPr="009B1663" w:rsidRDefault="009B1663" w:rsidP="009B1663">
      <w:pPr>
        <w:pStyle w:val="ListParagraph"/>
        <w:numPr>
          <w:ilvl w:val="1"/>
          <w:numId w:val="3"/>
        </w:numPr>
        <w:ind w:left="788" w:hanging="431"/>
        <w:contextualSpacing w:val="0"/>
        <w:rPr>
          <w:rFonts w:ascii="Century Gothic" w:hAnsi="Century Gothic"/>
        </w:rPr>
      </w:pPr>
      <w:r w:rsidRPr="009B1663">
        <w:rPr>
          <w:rFonts w:ascii="Century Gothic" w:hAnsi="Century Gothic"/>
        </w:rPr>
        <w:t>Med næsten 600.000 boliger udgør de almene boliger en femtedel af boligmassen i Danmark. Hver tredje bolig er opført før 1968, og mange af boligerne fremstår med en ikke-tidssvarende energistandard og indeholder et stort potentiale for energioptimering. Beregninger fra BUILD viser, at der i forbindelse med renoveringer af klimaskærm af de almene bygninger er et gennemsnitligt varme- og CO</w:t>
      </w:r>
      <w:r w:rsidRPr="00DA5AAE">
        <w:rPr>
          <w:rFonts w:ascii="Century Gothic" w:hAnsi="Century Gothic"/>
          <w:vertAlign w:val="subscript"/>
        </w:rPr>
        <w:t>2</w:t>
      </w:r>
      <w:r w:rsidRPr="009B1663">
        <w:rPr>
          <w:rFonts w:ascii="Century Gothic" w:hAnsi="Century Gothic"/>
        </w:rPr>
        <w:t xml:space="preserve">-besparelsespotentiale på 30-40 </w:t>
      </w:r>
      <w:r w:rsidR="00971DFB">
        <w:rPr>
          <w:rFonts w:ascii="Century Gothic" w:hAnsi="Century Gothic"/>
        </w:rPr>
        <w:t>%</w:t>
      </w:r>
      <w:r w:rsidR="00275099">
        <w:rPr>
          <w:rStyle w:val="FootnoteReference"/>
          <w:rFonts w:ascii="Century Gothic" w:hAnsi="Century Gothic"/>
        </w:rPr>
        <w:footnoteReference w:id="3"/>
      </w:r>
      <w:r w:rsidR="00E94DA1">
        <w:rPr>
          <w:rFonts w:ascii="Century Gothic" w:hAnsi="Century Gothic"/>
        </w:rPr>
        <w:t>.</w:t>
      </w:r>
      <w:r w:rsidRPr="009B1663">
        <w:rPr>
          <w:rFonts w:ascii="Century Gothic" w:hAnsi="Century Gothic"/>
        </w:rPr>
        <w:t xml:space="preserve"> Den almene bygningsmasse består af mange forskellige bygningstyper bygget gennem årene, som kan matche boligtyper i resten af EU i forhold til løsninger, der virker og kan overføres. </w:t>
      </w:r>
    </w:p>
    <w:p w14:paraId="31792678" w14:textId="18EF5769" w:rsidR="009B1663" w:rsidRPr="009B1663" w:rsidRDefault="009B1663" w:rsidP="009B1663">
      <w:pPr>
        <w:pStyle w:val="ListParagraph"/>
        <w:numPr>
          <w:ilvl w:val="1"/>
          <w:numId w:val="3"/>
        </w:numPr>
        <w:ind w:left="788" w:hanging="431"/>
        <w:contextualSpacing w:val="0"/>
        <w:rPr>
          <w:rFonts w:ascii="Century Gothic" w:hAnsi="Century Gothic"/>
        </w:rPr>
      </w:pPr>
      <w:r w:rsidRPr="009B1663">
        <w:rPr>
          <w:rFonts w:ascii="Century Gothic" w:hAnsi="Century Gothic"/>
        </w:rPr>
        <w:t>Som eksempel kan nævnes renoveringen af flere boligblokke i Langkærparken i Aarhus. Her har de</w:t>
      </w:r>
      <w:r w:rsidR="00AD1C77">
        <w:rPr>
          <w:rFonts w:ascii="Century Gothic" w:hAnsi="Century Gothic"/>
        </w:rPr>
        <w:t>r</w:t>
      </w:r>
      <w:r w:rsidRPr="009B1663">
        <w:rPr>
          <w:rFonts w:ascii="Century Gothic" w:hAnsi="Century Gothic"/>
        </w:rPr>
        <w:t xml:space="preserve"> været igangsat et modelprojekt med en enkelt standard boligblok, som har haft til formål at vise, hvordan man ved en efterisolering og bearbejdning af både facader og tag</w:t>
      </w:r>
      <w:r w:rsidR="00210594">
        <w:rPr>
          <w:rFonts w:ascii="Century Gothic" w:hAnsi="Century Gothic"/>
        </w:rPr>
        <w:t xml:space="preserve"> opnår </w:t>
      </w:r>
      <w:r w:rsidR="000D26C5">
        <w:rPr>
          <w:rFonts w:ascii="Century Gothic" w:hAnsi="Century Gothic"/>
        </w:rPr>
        <w:t>et energiforbrug svarende til de</w:t>
      </w:r>
      <w:r w:rsidR="00D3218B">
        <w:rPr>
          <w:rFonts w:ascii="Century Gothic" w:hAnsi="Century Gothic"/>
        </w:rPr>
        <w:t>t</w:t>
      </w:r>
      <w:r w:rsidR="000D26C5">
        <w:rPr>
          <w:rFonts w:ascii="Century Gothic" w:hAnsi="Century Gothic"/>
        </w:rPr>
        <w:t xml:space="preserve"> </w:t>
      </w:r>
      <w:r w:rsidR="00D3218B">
        <w:rPr>
          <w:rFonts w:ascii="Century Gothic" w:hAnsi="Century Gothic"/>
        </w:rPr>
        <w:t>energimæssigt bedste blandt nybyggeri</w:t>
      </w:r>
      <w:r w:rsidRPr="009B1663">
        <w:rPr>
          <w:rFonts w:ascii="Century Gothic" w:hAnsi="Century Gothic"/>
        </w:rPr>
        <w:t xml:space="preserve">. Der er etableret en mere </w:t>
      </w:r>
      <w:proofErr w:type="spellStart"/>
      <w:r w:rsidRPr="009B1663">
        <w:rPr>
          <w:rFonts w:ascii="Century Gothic" w:hAnsi="Century Gothic"/>
        </w:rPr>
        <w:t>energieffektiv</w:t>
      </w:r>
      <w:proofErr w:type="spellEnd"/>
      <w:r w:rsidRPr="009B1663">
        <w:rPr>
          <w:rFonts w:ascii="Century Gothic" w:hAnsi="Century Gothic"/>
        </w:rPr>
        <w:t xml:space="preserve"> klimaskærm og høstet erfaringer, som er værdiskabende ift. renovering af andre standard boligblokbyggeri.  </w:t>
      </w:r>
    </w:p>
    <w:p w14:paraId="0FC5882A" w14:textId="59E0A09A" w:rsidR="009B1663" w:rsidRPr="009B1663" w:rsidRDefault="009B1663" w:rsidP="009B1663">
      <w:pPr>
        <w:pStyle w:val="ListParagraph"/>
        <w:numPr>
          <w:ilvl w:val="1"/>
          <w:numId w:val="3"/>
        </w:numPr>
        <w:ind w:left="788" w:hanging="431"/>
        <w:contextualSpacing w:val="0"/>
        <w:rPr>
          <w:rFonts w:ascii="Century Gothic" w:hAnsi="Century Gothic"/>
        </w:rPr>
      </w:pPr>
      <w:r w:rsidRPr="009B1663">
        <w:rPr>
          <w:rFonts w:ascii="Century Gothic" w:hAnsi="Century Gothic"/>
        </w:rPr>
        <w:t>Det er vigtigt at skabe gode rammer for investeringer i energieffektive og sunde løsninger i den almene sektor. Med flere private midler kan der realiseres flere rentable energireduktionspotentialer i den almene sektor</w:t>
      </w:r>
      <w:r w:rsidR="00E3670B">
        <w:rPr>
          <w:rFonts w:ascii="Century Gothic" w:hAnsi="Century Gothic"/>
        </w:rPr>
        <w:t>,</w:t>
      </w:r>
      <w:r w:rsidRPr="009B1663">
        <w:rPr>
          <w:rFonts w:ascii="Century Gothic" w:hAnsi="Century Gothic"/>
        </w:rPr>
        <w:t xml:space="preserve"> og effektive løsninger kan overføres til andre lande.</w:t>
      </w:r>
    </w:p>
    <w:p w14:paraId="64B9F4EE" w14:textId="0DD902B1" w:rsidR="009B1663" w:rsidRPr="000B7C2C" w:rsidRDefault="009B1663" w:rsidP="009B1663">
      <w:pPr>
        <w:pStyle w:val="Heading1"/>
        <w:numPr>
          <w:ilvl w:val="0"/>
          <w:numId w:val="3"/>
        </w:numPr>
        <w:tabs>
          <w:tab w:val="num" w:pos="360"/>
        </w:tabs>
        <w:ind w:left="0" w:firstLine="0"/>
        <w:rPr>
          <w:rFonts w:ascii="Century Gothic" w:hAnsi="Century Gothic"/>
          <w:color w:val="276E8B"/>
          <w:sz w:val="24"/>
          <w:szCs w:val="24"/>
        </w:rPr>
      </w:pPr>
      <w:r>
        <w:rPr>
          <w:rFonts w:ascii="Century Gothic" w:hAnsi="Century Gothic"/>
          <w:color w:val="276E8B"/>
          <w:sz w:val="24"/>
          <w:szCs w:val="24"/>
        </w:rPr>
        <w:t>Lavindkomstgrupper i ejerboligsegmentet</w:t>
      </w:r>
    </w:p>
    <w:p w14:paraId="2511D054" w14:textId="77777777" w:rsidR="006E79E1" w:rsidRPr="006E79E1" w:rsidRDefault="006E79E1" w:rsidP="008836D8">
      <w:pPr>
        <w:pStyle w:val="ListParagraph"/>
        <w:numPr>
          <w:ilvl w:val="1"/>
          <w:numId w:val="3"/>
        </w:numPr>
        <w:ind w:left="788" w:hanging="431"/>
        <w:contextualSpacing w:val="0"/>
        <w:rPr>
          <w:rFonts w:ascii="Century Gothic" w:hAnsi="Century Gothic"/>
        </w:rPr>
      </w:pPr>
      <w:r w:rsidRPr="006E79E1">
        <w:rPr>
          <w:rFonts w:ascii="Century Gothic" w:hAnsi="Century Gothic"/>
        </w:rPr>
        <w:t xml:space="preserve">REO anbefaler, at Danmark i relation til Renovation </w:t>
      </w:r>
      <w:proofErr w:type="spellStart"/>
      <w:r w:rsidRPr="006E79E1">
        <w:rPr>
          <w:rFonts w:ascii="Century Gothic" w:hAnsi="Century Gothic"/>
        </w:rPr>
        <w:t>Wave</w:t>
      </w:r>
      <w:proofErr w:type="spellEnd"/>
      <w:r w:rsidRPr="006E79E1">
        <w:rPr>
          <w:rFonts w:ascii="Century Gothic" w:hAnsi="Century Gothic"/>
        </w:rPr>
        <w:t xml:space="preserve"> går foran med projektudvikling for at udvikle modeller og processer med henblik på at energieffektivisere (og kvalitetsforbedre) de boliger, som kendetegnes af nedenstående kriterier: </w:t>
      </w:r>
    </w:p>
    <w:p w14:paraId="3771F02C" w14:textId="77777777" w:rsidR="006E79E1" w:rsidRPr="006E79E1" w:rsidRDefault="006E79E1" w:rsidP="008836D8">
      <w:pPr>
        <w:pStyle w:val="ListParagraph"/>
        <w:numPr>
          <w:ilvl w:val="0"/>
          <w:numId w:val="4"/>
        </w:numPr>
        <w:contextualSpacing w:val="0"/>
        <w:rPr>
          <w:rFonts w:ascii="Century Gothic" w:hAnsi="Century Gothic"/>
        </w:rPr>
      </w:pPr>
      <w:r w:rsidRPr="006E79E1">
        <w:rPr>
          <w:rFonts w:ascii="Century Gothic" w:hAnsi="Century Gothic"/>
        </w:rPr>
        <w:t>At være i den klart ringeste energistand</w:t>
      </w:r>
    </w:p>
    <w:p w14:paraId="38A7891F" w14:textId="77777777" w:rsidR="008836D8" w:rsidRDefault="006E79E1" w:rsidP="008836D8">
      <w:pPr>
        <w:pStyle w:val="ListParagraph"/>
        <w:numPr>
          <w:ilvl w:val="0"/>
          <w:numId w:val="4"/>
        </w:numPr>
        <w:contextualSpacing w:val="0"/>
        <w:rPr>
          <w:rFonts w:ascii="Century Gothic" w:hAnsi="Century Gothic"/>
        </w:rPr>
      </w:pPr>
      <w:r w:rsidRPr="006E79E1">
        <w:rPr>
          <w:rFonts w:ascii="Century Gothic" w:hAnsi="Century Gothic"/>
        </w:rPr>
        <w:t>At renovering sker sjældent eller slet ikke, bl.a. fordi ejendommene handles sjældent grundet beliggenhed og beboerens alder og/eller privatøkonomi</w:t>
      </w:r>
    </w:p>
    <w:p w14:paraId="55588D98" w14:textId="77777777" w:rsidR="008836D8" w:rsidRDefault="006E79E1" w:rsidP="008836D8">
      <w:pPr>
        <w:pStyle w:val="ListParagraph"/>
        <w:numPr>
          <w:ilvl w:val="0"/>
          <w:numId w:val="4"/>
        </w:numPr>
        <w:contextualSpacing w:val="0"/>
        <w:rPr>
          <w:rFonts w:ascii="Century Gothic" w:hAnsi="Century Gothic"/>
        </w:rPr>
      </w:pPr>
      <w:r w:rsidRPr="008836D8">
        <w:rPr>
          <w:rFonts w:ascii="Century Gothic" w:hAnsi="Century Gothic"/>
        </w:rPr>
        <w:t>Der er barrierer for, at markedet alene kan sikre den grønne omstilling, herunder så lav pris på boligen, at der ikke kan sikres, at der er pant for lån til forbedringer, manglende information og manglende menneskelige ressourcer hos beboere til at kunne overskue og magte energirenoveringsprocessen</w:t>
      </w:r>
    </w:p>
    <w:p w14:paraId="424BA995" w14:textId="30F9255F" w:rsidR="006E79E1" w:rsidRPr="008836D8" w:rsidRDefault="006E79E1" w:rsidP="008836D8">
      <w:pPr>
        <w:pStyle w:val="ListParagraph"/>
        <w:numPr>
          <w:ilvl w:val="0"/>
          <w:numId w:val="4"/>
        </w:numPr>
        <w:contextualSpacing w:val="0"/>
        <w:rPr>
          <w:rFonts w:ascii="Century Gothic" w:hAnsi="Century Gothic"/>
        </w:rPr>
      </w:pPr>
      <w:r w:rsidRPr="008836D8">
        <w:rPr>
          <w:rFonts w:ascii="Century Gothic" w:hAnsi="Century Gothic"/>
        </w:rPr>
        <w:t>At være beboet af sårbare grupper i form af ældre og/eller lavindkomstgrupper, hvor den økonomiske overkommelighed af renoveringen er en særlig udfordring (problemet med energifattigdom)</w:t>
      </w:r>
    </w:p>
    <w:p w14:paraId="6BB57E49" w14:textId="77777777" w:rsidR="006E79E1" w:rsidRPr="006E79E1" w:rsidRDefault="006E79E1" w:rsidP="008836D8">
      <w:pPr>
        <w:pStyle w:val="ListParagraph"/>
        <w:numPr>
          <w:ilvl w:val="1"/>
          <w:numId w:val="3"/>
        </w:numPr>
        <w:ind w:left="788" w:hanging="431"/>
        <w:contextualSpacing w:val="0"/>
        <w:rPr>
          <w:rFonts w:ascii="Century Gothic" w:hAnsi="Century Gothic"/>
        </w:rPr>
      </w:pPr>
      <w:r w:rsidRPr="006E79E1">
        <w:rPr>
          <w:rFonts w:ascii="Century Gothic" w:hAnsi="Century Gothic"/>
        </w:rPr>
        <w:t xml:space="preserve">Den type boliger er typisk ældre enfamiliehuse, ofte med oliefyr og brændeovn, beliggende i landdistrikter i områder i strukturel tilbagegang og ofte beboet af ældre. </w:t>
      </w:r>
    </w:p>
    <w:p w14:paraId="2CBAA976" w14:textId="77777777" w:rsidR="006E79E1" w:rsidRPr="006E79E1" w:rsidRDefault="006E79E1" w:rsidP="008836D8">
      <w:pPr>
        <w:pStyle w:val="ListParagraph"/>
        <w:numPr>
          <w:ilvl w:val="1"/>
          <w:numId w:val="3"/>
        </w:numPr>
        <w:ind w:left="788" w:hanging="431"/>
        <w:contextualSpacing w:val="0"/>
        <w:rPr>
          <w:rFonts w:ascii="Century Gothic" w:hAnsi="Century Gothic"/>
        </w:rPr>
      </w:pPr>
      <w:r w:rsidRPr="006E79E1">
        <w:rPr>
          <w:rFonts w:ascii="Century Gothic" w:hAnsi="Century Gothic"/>
        </w:rPr>
        <w:t xml:space="preserve">Omstilling af disse ejendomme til anden opvarmning og herudover den mest påtrængende renovering, såsom isolering af gulve, vægge og lofter eller vinduesudskiftning indebærer høj energibesparelse pr. investeret krone og højere komfort for sårbare grupper på én og samme tid. </w:t>
      </w:r>
    </w:p>
    <w:p w14:paraId="1003DFEC" w14:textId="6519FF0A" w:rsidR="006E79E1" w:rsidRPr="006E79E1" w:rsidRDefault="006E79E1" w:rsidP="008836D8">
      <w:pPr>
        <w:pStyle w:val="ListParagraph"/>
        <w:numPr>
          <w:ilvl w:val="1"/>
          <w:numId w:val="3"/>
        </w:numPr>
        <w:ind w:left="788" w:hanging="431"/>
        <w:contextualSpacing w:val="0"/>
        <w:rPr>
          <w:rFonts w:ascii="Century Gothic" w:hAnsi="Century Gothic"/>
        </w:rPr>
      </w:pPr>
      <w:r w:rsidRPr="006E79E1">
        <w:rPr>
          <w:rFonts w:ascii="Century Gothic" w:hAnsi="Century Gothic"/>
        </w:rPr>
        <w:t>Midlet kan være udrulning af ESCO light</w:t>
      </w:r>
      <w:r w:rsidR="008E30CE">
        <w:rPr>
          <w:rFonts w:ascii="Century Gothic" w:hAnsi="Century Gothic"/>
        </w:rPr>
        <w:t>-</w:t>
      </w:r>
      <w:r w:rsidRPr="006E79E1">
        <w:rPr>
          <w:rFonts w:ascii="Century Gothic" w:hAnsi="Century Gothic"/>
        </w:rPr>
        <w:t xml:space="preserve">modeller med tilskud til at nedbringe etableringsomkostningerne. </w:t>
      </w:r>
      <w:r w:rsidR="00B113C0">
        <w:rPr>
          <w:rFonts w:ascii="Century Gothic" w:hAnsi="Century Gothic"/>
        </w:rPr>
        <w:t>Det</w:t>
      </w:r>
      <w:r w:rsidRPr="006E79E1">
        <w:rPr>
          <w:rFonts w:ascii="Century Gothic" w:hAnsi="Century Gothic"/>
        </w:rPr>
        <w:t xml:space="preserve"> </w:t>
      </w:r>
      <w:r w:rsidR="00C76B76">
        <w:rPr>
          <w:rFonts w:ascii="Century Gothic" w:hAnsi="Century Gothic"/>
        </w:rPr>
        <w:t>kan</w:t>
      </w:r>
      <w:r w:rsidRPr="006E79E1">
        <w:rPr>
          <w:rFonts w:ascii="Century Gothic" w:hAnsi="Century Gothic"/>
        </w:rPr>
        <w:t xml:space="preserve"> omfatte leasing af varmepumpe i de tilfælde, hvor ejendommen på sigt forventes at udgå fra boligmarkedet, men etablering af varmepumpe/anden opvarmning samt isolering i de tilfælde, hvor ejendommen skønnes levedygtig på sigt.</w:t>
      </w:r>
    </w:p>
    <w:p w14:paraId="7FB22238" w14:textId="315A07CA" w:rsidR="006E79E1" w:rsidRDefault="00B113C0" w:rsidP="008836D8">
      <w:pPr>
        <w:pStyle w:val="ListParagraph"/>
        <w:numPr>
          <w:ilvl w:val="1"/>
          <w:numId w:val="3"/>
        </w:numPr>
        <w:ind w:left="788" w:hanging="431"/>
        <w:contextualSpacing w:val="0"/>
        <w:rPr>
          <w:rFonts w:ascii="Century Gothic" w:hAnsi="Century Gothic"/>
        </w:rPr>
      </w:pPr>
      <w:r w:rsidRPr="009E49B9">
        <w:rPr>
          <w:rFonts w:ascii="Century Gothic" w:hAnsi="Century Gothic"/>
        </w:rPr>
        <w:t>Der</w:t>
      </w:r>
      <w:r w:rsidR="006E79E1" w:rsidRPr="006E79E1">
        <w:rPr>
          <w:rFonts w:ascii="Century Gothic" w:hAnsi="Century Gothic"/>
        </w:rPr>
        <w:t xml:space="preserve"> skal udvikle modeller, der identificerer og rækker ud til kunderne, etablerer </w:t>
      </w:r>
      <w:proofErr w:type="spellStart"/>
      <w:r w:rsidR="006E79E1" w:rsidRPr="006E79E1">
        <w:rPr>
          <w:rFonts w:ascii="Century Gothic" w:hAnsi="Century Gothic"/>
        </w:rPr>
        <w:t>one</w:t>
      </w:r>
      <w:proofErr w:type="spellEnd"/>
      <w:r w:rsidR="006E79E1" w:rsidRPr="006E79E1">
        <w:rPr>
          <w:rFonts w:ascii="Century Gothic" w:hAnsi="Century Gothic"/>
        </w:rPr>
        <w:t>-stop-shop</w:t>
      </w:r>
      <w:r w:rsidR="002A7FDC">
        <w:rPr>
          <w:rFonts w:ascii="Century Gothic" w:hAnsi="Century Gothic"/>
        </w:rPr>
        <w:t>-</w:t>
      </w:r>
      <w:r w:rsidR="006E79E1" w:rsidRPr="006E79E1">
        <w:rPr>
          <w:rFonts w:ascii="Century Gothic" w:hAnsi="Century Gothic"/>
        </w:rPr>
        <w:t xml:space="preserve">koncept ud fra princippet om én kontaktperson til kunden, én aftale og én pris. Kunden skal ikke have økonomisk risiko ved projektet, denne skal afdækkes og løftes via ordningen, der skal have indbygget et forsikringselement indeholdt i prisen. Dele af kapitalomkostningerne vil være dækket af de resulterende energibesparelser. </w:t>
      </w:r>
    </w:p>
    <w:p w14:paraId="6FD7B51A" w14:textId="47C5E0CD" w:rsidR="006E79E1" w:rsidRPr="00E05716" w:rsidRDefault="00E160CA" w:rsidP="00E05716">
      <w:pPr>
        <w:pStyle w:val="ListParagraph"/>
        <w:numPr>
          <w:ilvl w:val="1"/>
          <w:numId w:val="3"/>
        </w:numPr>
        <w:ind w:left="788" w:hanging="431"/>
        <w:contextualSpacing w:val="0"/>
        <w:rPr>
          <w:rFonts w:ascii="Century Gothic" w:hAnsi="Century Gothic"/>
        </w:rPr>
      </w:pPr>
      <w:r w:rsidRPr="00E160CA">
        <w:rPr>
          <w:rFonts w:ascii="Century Gothic" w:hAnsi="Century Gothic"/>
        </w:rPr>
        <w:t>REO anbefaler</w:t>
      </w:r>
      <w:r w:rsidRPr="00981AD9">
        <w:rPr>
          <w:rFonts w:ascii="Century Gothic" w:hAnsi="Century Gothic"/>
        </w:rPr>
        <w:t>,</w:t>
      </w:r>
      <w:r w:rsidRPr="00A112BE">
        <w:rPr>
          <w:rFonts w:ascii="Century Gothic" w:hAnsi="Century Gothic"/>
        </w:rPr>
        <w:t xml:space="preserve"> at der igangsættes en analyse af</w:t>
      </w:r>
      <w:r w:rsidRPr="005B5F34">
        <w:rPr>
          <w:rFonts w:ascii="Century Gothic" w:hAnsi="Century Gothic"/>
        </w:rPr>
        <w:t xml:space="preserve">, hvordan </w:t>
      </w:r>
      <w:r w:rsidRPr="00A42C06">
        <w:rPr>
          <w:rFonts w:ascii="Century Gothic" w:hAnsi="Century Gothic"/>
        </w:rPr>
        <w:t>og i hvilket om</w:t>
      </w:r>
      <w:r w:rsidRPr="00592D25">
        <w:rPr>
          <w:rFonts w:ascii="Century Gothic" w:hAnsi="Century Gothic"/>
        </w:rPr>
        <w:t xml:space="preserve">fang </w:t>
      </w:r>
      <w:r w:rsidRPr="003951C3">
        <w:rPr>
          <w:rFonts w:ascii="Century Gothic" w:hAnsi="Century Gothic"/>
        </w:rPr>
        <w:t>sådanne projekter kan</w:t>
      </w:r>
      <w:r w:rsidRPr="00E82378">
        <w:rPr>
          <w:rFonts w:ascii="Century Gothic" w:hAnsi="Century Gothic"/>
        </w:rPr>
        <w:t xml:space="preserve"> løfte energ</w:t>
      </w:r>
      <w:r w:rsidRPr="007262B5">
        <w:rPr>
          <w:rFonts w:ascii="Century Gothic" w:hAnsi="Century Gothic"/>
        </w:rPr>
        <w:t>i</w:t>
      </w:r>
      <w:r w:rsidRPr="00980C21">
        <w:rPr>
          <w:rFonts w:ascii="Century Gothic" w:hAnsi="Century Gothic"/>
        </w:rPr>
        <w:t xml:space="preserve">mærkerne for </w:t>
      </w:r>
      <w:r w:rsidRPr="00071350">
        <w:rPr>
          <w:rFonts w:ascii="Century Gothic" w:hAnsi="Century Gothic"/>
        </w:rPr>
        <w:t>ejend</w:t>
      </w:r>
      <w:r w:rsidRPr="008C0145">
        <w:rPr>
          <w:rFonts w:ascii="Century Gothic" w:hAnsi="Century Gothic"/>
        </w:rPr>
        <w:t xml:space="preserve">omme </w:t>
      </w:r>
      <w:r w:rsidRPr="0077569A">
        <w:rPr>
          <w:rFonts w:ascii="Century Gothic" w:hAnsi="Century Gothic"/>
        </w:rPr>
        <w:t>i den r</w:t>
      </w:r>
      <w:r w:rsidRPr="00776676">
        <w:rPr>
          <w:rFonts w:ascii="Century Gothic" w:hAnsi="Century Gothic"/>
        </w:rPr>
        <w:t>ingeste energistand</w:t>
      </w:r>
      <w:r w:rsidRPr="00BF6962">
        <w:rPr>
          <w:rFonts w:ascii="Century Gothic" w:hAnsi="Century Gothic"/>
        </w:rPr>
        <w:t>,</w:t>
      </w:r>
      <w:r w:rsidRPr="007645FB">
        <w:rPr>
          <w:rFonts w:ascii="Century Gothic" w:hAnsi="Century Gothic"/>
        </w:rPr>
        <w:t xml:space="preserve"> hvor </w:t>
      </w:r>
      <w:r w:rsidRPr="00900A24">
        <w:rPr>
          <w:rFonts w:ascii="Century Gothic" w:hAnsi="Century Gothic"/>
        </w:rPr>
        <w:t xml:space="preserve">ejerne ikke selv kan løfte renoveringen og </w:t>
      </w:r>
      <w:r w:rsidRPr="00506144">
        <w:rPr>
          <w:rFonts w:ascii="Century Gothic" w:hAnsi="Century Gothic"/>
        </w:rPr>
        <w:t>hvor renoveringen ikke står m</w:t>
      </w:r>
      <w:r w:rsidRPr="005F2A76">
        <w:rPr>
          <w:rFonts w:ascii="Century Gothic" w:hAnsi="Century Gothic"/>
        </w:rPr>
        <w:t>å</w:t>
      </w:r>
      <w:r w:rsidRPr="00DF4B92">
        <w:rPr>
          <w:rFonts w:ascii="Century Gothic" w:hAnsi="Century Gothic"/>
        </w:rPr>
        <w:t>l med salgsværdi</w:t>
      </w:r>
      <w:r w:rsidR="00E05716">
        <w:rPr>
          <w:rFonts w:ascii="Century Gothic" w:hAnsi="Century Gothic"/>
        </w:rPr>
        <w:t>.</w:t>
      </w:r>
    </w:p>
    <w:p w14:paraId="39B21FC5" w14:textId="14DE8B5F" w:rsidR="008836D8" w:rsidRPr="00743B8F" w:rsidRDefault="008836D8" w:rsidP="008836D8">
      <w:pPr>
        <w:pStyle w:val="Heading1"/>
        <w:numPr>
          <w:ilvl w:val="0"/>
          <w:numId w:val="3"/>
        </w:numPr>
        <w:tabs>
          <w:tab w:val="num" w:pos="360"/>
        </w:tabs>
        <w:ind w:left="0" w:firstLine="0"/>
        <w:rPr>
          <w:rFonts w:ascii="Century Gothic" w:hAnsi="Century Gothic"/>
          <w:color w:val="276E8B"/>
          <w:sz w:val="24"/>
          <w:szCs w:val="24"/>
        </w:rPr>
      </w:pPr>
      <w:proofErr w:type="spellStart"/>
      <w:r w:rsidRPr="00DA5AAE">
        <w:rPr>
          <w:rFonts w:ascii="Century Gothic" w:hAnsi="Century Gothic"/>
          <w:color w:val="276E8B"/>
          <w:sz w:val="24"/>
          <w:szCs w:val="24"/>
        </w:rPr>
        <w:t>Dekarbonisering</w:t>
      </w:r>
      <w:proofErr w:type="spellEnd"/>
      <w:r w:rsidRPr="00DA5AAE">
        <w:rPr>
          <w:rFonts w:ascii="Century Gothic" w:hAnsi="Century Gothic"/>
          <w:color w:val="276E8B"/>
          <w:sz w:val="24"/>
          <w:szCs w:val="24"/>
        </w:rPr>
        <w:t xml:space="preserve"> </w:t>
      </w:r>
      <w:r w:rsidR="00605D08" w:rsidRPr="00DA5AAE">
        <w:rPr>
          <w:rFonts w:ascii="Century Gothic" w:hAnsi="Century Gothic"/>
          <w:color w:val="276E8B"/>
          <w:sz w:val="24"/>
          <w:szCs w:val="24"/>
        </w:rPr>
        <w:t>af opvarmning og køling</w:t>
      </w:r>
    </w:p>
    <w:p w14:paraId="7E41FA90" w14:textId="719495E2" w:rsidR="00326061" w:rsidRPr="00FA6DEE" w:rsidRDefault="00326061" w:rsidP="00F151EE">
      <w:pPr>
        <w:pStyle w:val="ListParagraph"/>
        <w:numPr>
          <w:ilvl w:val="1"/>
          <w:numId w:val="3"/>
        </w:numPr>
        <w:ind w:left="788" w:hanging="431"/>
        <w:contextualSpacing w:val="0"/>
        <w:rPr>
          <w:rFonts w:ascii="Century Gothic" w:hAnsi="Century Gothic"/>
          <w:strike/>
        </w:rPr>
      </w:pPr>
      <w:r w:rsidRPr="00DA5AAE">
        <w:rPr>
          <w:rFonts w:ascii="Century Gothic" w:hAnsi="Century Gothic"/>
        </w:rPr>
        <w:t>REO</w:t>
      </w:r>
      <w:r w:rsidRPr="00326061">
        <w:rPr>
          <w:rFonts w:ascii="Century Gothic" w:hAnsi="Century Gothic"/>
        </w:rPr>
        <w:t xml:space="preserve"> ser positivt på Kommissionens forslag i Renovation </w:t>
      </w:r>
      <w:proofErr w:type="spellStart"/>
      <w:r w:rsidRPr="00326061">
        <w:rPr>
          <w:rFonts w:ascii="Century Gothic" w:hAnsi="Century Gothic"/>
        </w:rPr>
        <w:t>Wave</w:t>
      </w:r>
      <w:proofErr w:type="spellEnd"/>
      <w:r w:rsidRPr="00326061">
        <w:rPr>
          <w:rFonts w:ascii="Century Gothic" w:hAnsi="Century Gothic"/>
        </w:rPr>
        <w:t xml:space="preserve"> om at bruge en del af det øgede provenu fra salg af kvoter via EU ETS til at understøtte tiltag, som skal reducere </w:t>
      </w:r>
      <w:r w:rsidR="0097623D">
        <w:rPr>
          <w:rFonts w:ascii="Century Gothic" w:hAnsi="Century Gothic"/>
        </w:rPr>
        <w:t>e</w:t>
      </w:r>
      <w:r w:rsidRPr="00326061">
        <w:rPr>
          <w:rFonts w:ascii="Century Gothic" w:hAnsi="Century Gothic"/>
        </w:rPr>
        <w:t>nergifattigdom gennem bygningsrenovering national og lokalt. Midlerne skal gå til energiforbedringer i bygningerne og ikke som tilskud til energiregningen. ETS skal accelerere den grønne omstilling gennem bygningsrenovering nationalt og lokalt, herunder økonomiske incitamenter til energiforbedringer i lavindkomstgrupper</w:t>
      </w:r>
      <w:r w:rsidR="00FA6DEE">
        <w:rPr>
          <w:rFonts w:ascii="Century Gothic" w:hAnsi="Century Gothic"/>
        </w:rPr>
        <w:t>.</w:t>
      </w:r>
      <w:r w:rsidR="00DF4B92">
        <w:rPr>
          <w:rFonts w:ascii="Century Gothic" w:hAnsi="Century Gothic"/>
        </w:rPr>
        <w:t xml:space="preserve"> </w:t>
      </w:r>
    </w:p>
    <w:p w14:paraId="76E7DD9C" w14:textId="68D9C113" w:rsidR="00326061" w:rsidRPr="00326061" w:rsidRDefault="00326061" w:rsidP="00326061">
      <w:pPr>
        <w:pStyle w:val="ListParagraph"/>
        <w:numPr>
          <w:ilvl w:val="1"/>
          <w:numId w:val="3"/>
        </w:numPr>
        <w:ind w:left="788" w:hanging="431"/>
        <w:contextualSpacing w:val="0"/>
        <w:rPr>
          <w:rFonts w:ascii="Century Gothic" w:hAnsi="Century Gothic"/>
        </w:rPr>
      </w:pPr>
      <w:r w:rsidRPr="00326061">
        <w:rPr>
          <w:rFonts w:ascii="Century Gothic" w:hAnsi="Century Gothic"/>
        </w:rPr>
        <w:t>REO understreger, at der er stor forskel på de enkelte medlemsstaters fokus på, hvordan omstilling af bygningsopvarmning skal ske. Nogle lande fokuserer på at omstille hver enkelt bygning, mens andre lande fokuserer på at omstille de overordnede energisystemer, især el og fjernvarme</w:t>
      </w:r>
      <w:r w:rsidR="007B2C76">
        <w:rPr>
          <w:rFonts w:ascii="Century Gothic" w:hAnsi="Century Gothic"/>
        </w:rPr>
        <w:t>,</w:t>
      </w:r>
      <w:r w:rsidRPr="00326061">
        <w:rPr>
          <w:rFonts w:ascii="Century Gothic" w:hAnsi="Century Gothic"/>
        </w:rPr>
        <w:t xml:space="preserve"> til vedvarende energi. Herfra kan den vedvarende energi så forsyne bygningerne. For at ligestille mellem disse to tilgange finder REO det afgørende vigtigt</w:t>
      </w:r>
      <w:r w:rsidR="00FD13A9">
        <w:rPr>
          <w:rFonts w:ascii="Century Gothic" w:hAnsi="Century Gothic"/>
        </w:rPr>
        <w:t>,</w:t>
      </w:r>
      <w:r w:rsidRPr="00326061">
        <w:rPr>
          <w:rFonts w:ascii="Century Gothic" w:hAnsi="Century Gothic"/>
        </w:rPr>
        <w:t xml:space="preserve"> at placering af vedvarende energiproduktion on-site eller </w:t>
      </w:r>
      <w:proofErr w:type="spellStart"/>
      <w:r w:rsidRPr="00326061">
        <w:rPr>
          <w:rFonts w:ascii="Century Gothic" w:hAnsi="Century Gothic"/>
        </w:rPr>
        <w:t>off</w:t>
      </w:r>
      <w:proofErr w:type="spellEnd"/>
      <w:r w:rsidRPr="00326061">
        <w:rPr>
          <w:rFonts w:ascii="Century Gothic" w:hAnsi="Century Gothic"/>
        </w:rPr>
        <w:t>-site ligestilles reguleringsmæssigt og beskatningsmæssigt.</w:t>
      </w:r>
    </w:p>
    <w:p w14:paraId="382DA1DC" w14:textId="77777777" w:rsidR="00326061" w:rsidRPr="00326061" w:rsidRDefault="00326061" w:rsidP="00326061">
      <w:pPr>
        <w:pStyle w:val="ListParagraph"/>
        <w:numPr>
          <w:ilvl w:val="1"/>
          <w:numId w:val="3"/>
        </w:numPr>
        <w:ind w:left="788" w:hanging="431"/>
        <w:contextualSpacing w:val="0"/>
        <w:rPr>
          <w:rFonts w:ascii="Century Gothic" w:hAnsi="Century Gothic"/>
        </w:rPr>
      </w:pPr>
      <w:r w:rsidRPr="00326061">
        <w:rPr>
          <w:rFonts w:ascii="Century Gothic" w:hAnsi="Century Gothic"/>
        </w:rPr>
        <w:t>REO støtter generelt initiativet for at styrke vidensopbygning for bæredygtig renovering på EU-niveau. Da Danmark imidlertid allerede har ganske mange kompetencer på det område, finder REO, at danske aktører bør have en rolle i opbygningen og formidlingen af viden, som lande med færre erfaringer med energirigtige og bæredygtige renoveringer kan trække på.</w:t>
      </w:r>
    </w:p>
    <w:p w14:paraId="49A735E2" w14:textId="77777777" w:rsidR="00326061" w:rsidRPr="00326061" w:rsidRDefault="00326061" w:rsidP="00326061">
      <w:pPr>
        <w:pStyle w:val="ListParagraph"/>
        <w:numPr>
          <w:ilvl w:val="1"/>
          <w:numId w:val="3"/>
        </w:numPr>
        <w:ind w:left="788" w:hanging="431"/>
        <w:contextualSpacing w:val="0"/>
        <w:rPr>
          <w:rFonts w:ascii="Century Gothic" w:hAnsi="Century Gothic"/>
        </w:rPr>
      </w:pPr>
      <w:r w:rsidRPr="00326061">
        <w:rPr>
          <w:rFonts w:ascii="Century Gothic" w:hAnsi="Century Gothic"/>
        </w:rPr>
        <w:t>REO finder, at det vigtigt at forøge informationsindsatsen for viden om bygningers indeklimamæssige stand, herunder oplysning om indeklimaets betydning for sundhed og produktivitet og forbedret viden om, hvordan renoveringer på samme tid både kan bringes til at forbedre indeklimaet og mindske energibehovet. Gennem bibringelse af samlet fokus på renoveringers potentiale for at forbedre indeklimaet og mindske energibehovet vurderer REO, at interessen for renovering kan styrkes.</w:t>
      </w:r>
    </w:p>
    <w:p w14:paraId="2ECB0B73" w14:textId="65E98C19" w:rsidR="00326061" w:rsidRPr="00326061" w:rsidRDefault="00326061" w:rsidP="00326061">
      <w:pPr>
        <w:pStyle w:val="ListParagraph"/>
        <w:numPr>
          <w:ilvl w:val="1"/>
          <w:numId w:val="3"/>
        </w:numPr>
        <w:ind w:left="788" w:hanging="431"/>
        <w:contextualSpacing w:val="0"/>
        <w:rPr>
          <w:rFonts w:ascii="Century Gothic" w:hAnsi="Century Gothic"/>
        </w:rPr>
      </w:pPr>
      <w:r w:rsidRPr="00326061">
        <w:rPr>
          <w:rFonts w:ascii="Century Gothic" w:hAnsi="Century Gothic"/>
        </w:rPr>
        <w:t>REO anbefale</w:t>
      </w:r>
      <w:r w:rsidR="00E6591D">
        <w:rPr>
          <w:rFonts w:ascii="Century Gothic" w:hAnsi="Century Gothic"/>
        </w:rPr>
        <w:t>r</w:t>
      </w:r>
      <w:r w:rsidRPr="00326061">
        <w:rPr>
          <w:rFonts w:ascii="Century Gothic" w:hAnsi="Century Gothic"/>
        </w:rPr>
        <w:t xml:space="preserve">, at Kommissionen sætter arbejde i gang for at skabe et system, som kan sætte værdi på forbedringer af en bygnings indeklima, belysning og generel funktionalitet og komfort gennem renovering, således at denne værdiforøgelse fremover medtælles sammen med værdien af den sparede energi i kommende renoveringsbeslutninger. </w:t>
      </w:r>
    </w:p>
    <w:p w14:paraId="3E830748" w14:textId="4BB0925E" w:rsidR="00326061" w:rsidRPr="00326061" w:rsidRDefault="00326061" w:rsidP="00326061">
      <w:pPr>
        <w:pStyle w:val="ListParagraph"/>
        <w:numPr>
          <w:ilvl w:val="1"/>
          <w:numId w:val="3"/>
        </w:numPr>
        <w:ind w:left="788" w:hanging="431"/>
        <w:contextualSpacing w:val="0"/>
        <w:rPr>
          <w:rFonts w:ascii="Century Gothic" w:hAnsi="Century Gothic"/>
        </w:rPr>
      </w:pPr>
      <w:r w:rsidRPr="00326061">
        <w:rPr>
          <w:rFonts w:ascii="Century Gothic" w:hAnsi="Century Gothic"/>
        </w:rPr>
        <w:t xml:space="preserve">En sådan beregning anvendes i anbefalingerne til indsatser i Energimærkningsrapporterne. Det vil forbedre forståelsen for og rentabilitet i mange tiltag og dermed øge mængden af anbefalinger. Ligesom motivationen for at gennemføre tiltagene vil </w:t>
      </w:r>
      <w:r w:rsidR="004617C0">
        <w:rPr>
          <w:rFonts w:ascii="Century Gothic" w:hAnsi="Century Gothic"/>
        </w:rPr>
        <w:t xml:space="preserve">blive </w:t>
      </w:r>
      <w:r w:rsidRPr="00326061">
        <w:rPr>
          <w:rFonts w:ascii="Century Gothic" w:hAnsi="Century Gothic"/>
        </w:rPr>
        <w:t>skærp</w:t>
      </w:r>
      <w:r w:rsidR="00AF23F5">
        <w:rPr>
          <w:rFonts w:ascii="Century Gothic" w:hAnsi="Century Gothic"/>
        </w:rPr>
        <w:t>e</w:t>
      </w:r>
      <w:r w:rsidR="004617C0">
        <w:rPr>
          <w:rFonts w:ascii="Century Gothic" w:hAnsi="Century Gothic"/>
        </w:rPr>
        <w:t>t</w:t>
      </w:r>
      <w:r w:rsidRPr="00326061">
        <w:rPr>
          <w:rFonts w:ascii="Century Gothic" w:hAnsi="Century Gothic"/>
        </w:rPr>
        <w:t>.</w:t>
      </w:r>
    </w:p>
    <w:p w14:paraId="43BB1A17" w14:textId="388AEA6C" w:rsidR="00326061" w:rsidRPr="00326061" w:rsidRDefault="00326061" w:rsidP="00326061">
      <w:pPr>
        <w:pStyle w:val="ListParagraph"/>
        <w:numPr>
          <w:ilvl w:val="1"/>
          <w:numId w:val="3"/>
        </w:numPr>
        <w:ind w:left="788" w:hanging="431"/>
        <w:contextualSpacing w:val="0"/>
        <w:rPr>
          <w:rFonts w:ascii="Century Gothic" w:hAnsi="Century Gothic"/>
        </w:rPr>
      </w:pPr>
      <w:r w:rsidRPr="00326061">
        <w:rPr>
          <w:rFonts w:ascii="Century Gothic" w:hAnsi="Century Gothic"/>
        </w:rPr>
        <w:t xml:space="preserve">REO ser muligheder i forslaget i Renovation </w:t>
      </w:r>
      <w:proofErr w:type="spellStart"/>
      <w:r w:rsidRPr="00326061">
        <w:rPr>
          <w:rFonts w:ascii="Century Gothic" w:hAnsi="Century Gothic"/>
        </w:rPr>
        <w:t>Wave</w:t>
      </w:r>
      <w:proofErr w:type="spellEnd"/>
      <w:r w:rsidRPr="00326061">
        <w:rPr>
          <w:rFonts w:ascii="Century Gothic" w:hAnsi="Century Gothic"/>
        </w:rPr>
        <w:t xml:space="preserve"> om at fastlægge langsigtede minimumsstandarder for bygningers energimæssige forhold, således at bygningsejeren får et langsigtet instrument til at planlægge en renoveringsindsats, der reducerer energibehovet på det omkostningsoptimale tidspunkt i bygningens ”levetid”.</w:t>
      </w:r>
    </w:p>
    <w:p w14:paraId="6514C68A" w14:textId="6FEBB85F" w:rsidR="008A24E3" w:rsidRPr="00003572" w:rsidRDefault="00326061" w:rsidP="00003572">
      <w:pPr>
        <w:pStyle w:val="ListParagraph"/>
        <w:numPr>
          <w:ilvl w:val="1"/>
          <w:numId w:val="3"/>
        </w:numPr>
        <w:ind w:left="788" w:hanging="431"/>
        <w:contextualSpacing w:val="0"/>
        <w:rPr>
          <w:rFonts w:ascii="Century Gothic" w:hAnsi="Century Gothic"/>
        </w:rPr>
      </w:pPr>
      <w:r w:rsidRPr="00326061">
        <w:rPr>
          <w:rFonts w:ascii="Century Gothic" w:hAnsi="Century Gothic"/>
        </w:rPr>
        <w:t>REO undres over det meget lave antal nye lokale arbejdspladser</w:t>
      </w:r>
      <w:r w:rsidR="00ED4620">
        <w:rPr>
          <w:rFonts w:ascii="Century Gothic" w:hAnsi="Century Gothic"/>
        </w:rPr>
        <w:t xml:space="preserve">, der forventes skabt som følge af Renovation </w:t>
      </w:r>
      <w:proofErr w:type="spellStart"/>
      <w:r w:rsidR="00ED4620">
        <w:rPr>
          <w:rFonts w:ascii="Century Gothic" w:hAnsi="Century Gothic"/>
        </w:rPr>
        <w:t>Wave</w:t>
      </w:r>
      <w:proofErr w:type="spellEnd"/>
      <w:r w:rsidR="00ED4620">
        <w:rPr>
          <w:rFonts w:ascii="Century Gothic" w:hAnsi="Century Gothic"/>
        </w:rPr>
        <w:t xml:space="preserve">. Kommissionens forventning er kun </w:t>
      </w:r>
      <w:r w:rsidRPr="00326061">
        <w:rPr>
          <w:rFonts w:ascii="Century Gothic" w:hAnsi="Century Gothic"/>
        </w:rPr>
        <w:t>160.000 grønne arbejdspladser til renovering af 35 millioner bygninger inden 2030</w:t>
      </w:r>
      <w:r w:rsidR="00003572">
        <w:rPr>
          <w:rFonts w:ascii="Century Gothic" w:hAnsi="Century Gothic"/>
        </w:rPr>
        <w:t xml:space="preserve">. </w:t>
      </w:r>
      <w:r w:rsidRPr="00326061">
        <w:rPr>
          <w:rFonts w:ascii="Century Gothic" w:hAnsi="Century Gothic"/>
        </w:rPr>
        <w:t>REO understrege</w:t>
      </w:r>
      <w:r w:rsidR="000C67AB">
        <w:rPr>
          <w:rFonts w:ascii="Century Gothic" w:hAnsi="Century Gothic"/>
        </w:rPr>
        <w:t>r</w:t>
      </w:r>
      <w:r w:rsidRPr="00326061">
        <w:rPr>
          <w:rFonts w:ascii="Century Gothic" w:hAnsi="Century Gothic"/>
        </w:rPr>
        <w:t>, at kun få lande er i samme situation som Danmark med meget høj beskæftigelse i byggebranchen, og vil påpege, at tendensen med skabelse af nye arbejdspladser vil være vedvarende, og således også være gældende, når det danske byggemarked på et eller andet tidspunkt vil gå ned i hastighed.</w:t>
      </w:r>
    </w:p>
    <w:p w14:paraId="62AD180B" w14:textId="6B8C2801" w:rsidR="00326061" w:rsidRPr="000B7C2C" w:rsidRDefault="00FF031B" w:rsidP="00326061">
      <w:pPr>
        <w:pStyle w:val="Heading1"/>
        <w:numPr>
          <w:ilvl w:val="0"/>
          <w:numId w:val="3"/>
        </w:numPr>
        <w:tabs>
          <w:tab w:val="num" w:pos="360"/>
        </w:tabs>
        <w:ind w:left="0" w:firstLine="0"/>
        <w:rPr>
          <w:rFonts w:ascii="Century Gothic" w:hAnsi="Century Gothic"/>
          <w:color w:val="276E8B"/>
          <w:sz w:val="24"/>
          <w:szCs w:val="24"/>
        </w:rPr>
      </w:pPr>
      <w:r>
        <w:rPr>
          <w:rFonts w:ascii="Century Gothic" w:hAnsi="Century Gothic"/>
          <w:color w:val="276E8B"/>
          <w:sz w:val="24"/>
          <w:szCs w:val="24"/>
        </w:rPr>
        <w:t xml:space="preserve">Fremme af omfattende og integrerede foranstaltninger til renovering af intelligente bygninger mm. </w:t>
      </w:r>
    </w:p>
    <w:p w14:paraId="159EAF7E" w14:textId="15A51426" w:rsidR="009109D5" w:rsidRPr="002731BB" w:rsidRDefault="002731BB" w:rsidP="002731BB">
      <w:pPr>
        <w:pStyle w:val="ListParagraph"/>
        <w:numPr>
          <w:ilvl w:val="1"/>
          <w:numId w:val="3"/>
        </w:numPr>
        <w:ind w:left="788" w:hanging="431"/>
        <w:contextualSpacing w:val="0"/>
        <w:rPr>
          <w:rFonts w:ascii="Century Gothic" w:hAnsi="Century Gothic"/>
        </w:rPr>
      </w:pPr>
      <w:r w:rsidRPr="002731BB">
        <w:rPr>
          <w:rFonts w:ascii="Century Gothic" w:hAnsi="Century Gothic"/>
        </w:rPr>
        <w:t xml:space="preserve">REO opfordrer til at bygninger betragtes som et integreret element i en samlet energisektor. Energiproduktion, energiinfrastruktur, virksomheder, bygninger og resten af samfundet bør tænkes sammen for at opnå samlet set omkostningseffektive og klimavenlige løsninger. </w:t>
      </w:r>
    </w:p>
    <w:p w14:paraId="1D7FB91E" w14:textId="4D09A85F" w:rsidR="00162948" w:rsidRPr="00743B8F" w:rsidRDefault="002731BB" w:rsidP="00743B8F">
      <w:pPr>
        <w:pStyle w:val="ListParagraph"/>
        <w:numPr>
          <w:ilvl w:val="1"/>
          <w:numId w:val="3"/>
        </w:numPr>
        <w:ind w:left="788" w:hanging="431"/>
        <w:contextualSpacing w:val="0"/>
        <w:rPr>
          <w:rFonts w:ascii="Century Gothic" w:hAnsi="Century Gothic"/>
        </w:rPr>
      </w:pPr>
      <w:r w:rsidRPr="00A04C09">
        <w:rPr>
          <w:rFonts w:ascii="Century Gothic" w:hAnsi="Century Gothic"/>
        </w:rPr>
        <w:t xml:space="preserve">En af forudsætningerne for at kunne skabe optimale løsninger på tværs af sektorer er, at der etableres digital opsamling og bearbejdning af data fra bygninger – og at data er tilgængelige for forbrugerne. REO anbefaler, at </w:t>
      </w:r>
      <w:r w:rsidR="00645D16" w:rsidRPr="00A04C09">
        <w:rPr>
          <w:rFonts w:ascii="Century Gothic" w:hAnsi="Century Gothic"/>
        </w:rPr>
        <w:t xml:space="preserve">regeringen fremmer mulighederne for at bygningsejere </w:t>
      </w:r>
      <w:r w:rsidRPr="00A04C09">
        <w:rPr>
          <w:rFonts w:ascii="Century Gothic" w:hAnsi="Century Gothic"/>
        </w:rPr>
        <w:t>simpelt og enkelt kan give tredjepart adgang til data.</w:t>
      </w:r>
      <w:r w:rsidR="00D6408F" w:rsidRPr="00A04C09">
        <w:rPr>
          <w:rFonts w:ascii="Century Gothic" w:hAnsi="Century Gothic"/>
        </w:rPr>
        <w:t xml:space="preserve"> </w:t>
      </w:r>
      <w:r w:rsidR="004E12D3" w:rsidRPr="00A04C09">
        <w:rPr>
          <w:rFonts w:ascii="Century Gothic" w:hAnsi="Century Gothic"/>
        </w:rPr>
        <w:t>REO anbefaler videre, at datafrisættelse og digitale værktøjer på dette område videreudvikles, f.eks. med udgangspunkt i erfaringerne fra det danske pilotprojekt "Bygningshubben”</w:t>
      </w:r>
      <w:r w:rsidR="00305579">
        <w:rPr>
          <w:rFonts w:ascii="Century Gothic" w:hAnsi="Century Gothic"/>
        </w:rPr>
        <w:t xml:space="preserve"> </w:t>
      </w:r>
      <w:r w:rsidR="00305579" w:rsidRPr="00760D71">
        <w:rPr>
          <w:rFonts w:ascii="Century Gothic" w:hAnsi="Century Gothic"/>
        </w:rPr>
        <w:t xml:space="preserve">og </w:t>
      </w:r>
      <w:r w:rsidR="00305579">
        <w:rPr>
          <w:rFonts w:ascii="Century Gothic" w:hAnsi="Century Gothic"/>
        </w:rPr>
        <w:t>E</w:t>
      </w:r>
      <w:r w:rsidR="00305579" w:rsidRPr="00760D71">
        <w:rPr>
          <w:rFonts w:ascii="Century Gothic" w:hAnsi="Century Gothic"/>
        </w:rPr>
        <w:t xml:space="preserve">nerginets </w:t>
      </w:r>
      <w:proofErr w:type="spellStart"/>
      <w:r w:rsidR="00305579">
        <w:rPr>
          <w:rFonts w:ascii="Century Gothic" w:hAnsi="Century Gothic"/>
        </w:rPr>
        <w:t>D</w:t>
      </w:r>
      <w:r w:rsidR="00305579" w:rsidRPr="00760D71">
        <w:rPr>
          <w:rFonts w:ascii="Century Gothic" w:hAnsi="Century Gothic"/>
        </w:rPr>
        <w:t>ata</w:t>
      </w:r>
      <w:r w:rsidR="00305579">
        <w:rPr>
          <w:rFonts w:ascii="Century Gothic" w:hAnsi="Century Gothic"/>
        </w:rPr>
        <w:t>H</w:t>
      </w:r>
      <w:r w:rsidR="00305579" w:rsidRPr="00760D71">
        <w:rPr>
          <w:rFonts w:ascii="Century Gothic" w:hAnsi="Century Gothic"/>
        </w:rPr>
        <w:t>ub</w:t>
      </w:r>
      <w:proofErr w:type="spellEnd"/>
      <w:r w:rsidR="004E12D3" w:rsidRPr="00A04C09">
        <w:rPr>
          <w:rFonts w:ascii="Century Gothic" w:hAnsi="Century Gothic"/>
        </w:rPr>
        <w:t>.</w:t>
      </w:r>
      <w:r w:rsidR="00743B8F">
        <w:rPr>
          <w:rFonts w:ascii="Century Gothic" w:hAnsi="Century Gothic"/>
        </w:rPr>
        <w:t xml:space="preserve"> </w:t>
      </w:r>
      <w:r w:rsidR="000F59D0" w:rsidRPr="00743B8F">
        <w:rPr>
          <w:rFonts w:ascii="Century Gothic" w:hAnsi="Century Gothic"/>
        </w:rPr>
        <w:t xml:space="preserve">REO vurderer, at </w:t>
      </w:r>
      <w:r w:rsidR="004C17BB" w:rsidRPr="00743B8F">
        <w:rPr>
          <w:rFonts w:ascii="Century Gothic" w:hAnsi="Century Gothic"/>
        </w:rPr>
        <w:t xml:space="preserve">Smart Readiness </w:t>
      </w:r>
      <w:proofErr w:type="spellStart"/>
      <w:r w:rsidR="004C17BB" w:rsidRPr="00743B8F">
        <w:rPr>
          <w:rFonts w:ascii="Century Gothic" w:hAnsi="Century Gothic"/>
        </w:rPr>
        <w:t>Indicator</w:t>
      </w:r>
      <w:proofErr w:type="spellEnd"/>
      <w:r w:rsidR="004C17BB" w:rsidRPr="00743B8F">
        <w:rPr>
          <w:rFonts w:ascii="Century Gothic" w:hAnsi="Century Gothic"/>
        </w:rPr>
        <w:t xml:space="preserve"> (SRI) </w:t>
      </w:r>
      <w:r w:rsidR="00D65754" w:rsidRPr="00743B8F">
        <w:rPr>
          <w:rFonts w:ascii="Century Gothic" w:hAnsi="Century Gothic"/>
        </w:rPr>
        <w:t xml:space="preserve">vil komme til at spille en central rolle for </w:t>
      </w:r>
      <w:r w:rsidR="00DB2C72" w:rsidRPr="00743B8F">
        <w:rPr>
          <w:rFonts w:ascii="Century Gothic" w:hAnsi="Century Gothic"/>
        </w:rPr>
        <w:t>en række</w:t>
      </w:r>
      <w:r w:rsidR="001F1CFC" w:rsidRPr="00743B8F">
        <w:rPr>
          <w:rFonts w:ascii="Century Gothic" w:hAnsi="Century Gothic"/>
        </w:rPr>
        <w:t xml:space="preserve"> </w:t>
      </w:r>
      <w:r w:rsidR="002F26DE" w:rsidRPr="00743B8F">
        <w:rPr>
          <w:rFonts w:ascii="Century Gothic" w:hAnsi="Century Gothic"/>
        </w:rPr>
        <w:t>i</w:t>
      </w:r>
      <w:r w:rsidR="00DB2C72" w:rsidRPr="00743B8F">
        <w:rPr>
          <w:rFonts w:ascii="Century Gothic" w:hAnsi="Century Gothic"/>
        </w:rPr>
        <w:t>nitiativer</w:t>
      </w:r>
      <w:r w:rsidR="002F26DE" w:rsidRPr="00743B8F">
        <w:rPr>
          <w:rFonts w:ascii="Century Gothic" w:hAnsi="Century Gothic"/>
        </w:rPr>
        <w:t xml:space="preserve"> målrettet bygningers drift</w:t>
      </w:r>
      <w:r w:rsidR="00B31DDE" w:rsidRPr="00743B8F">
        <w:rPr>
          <w:rFonts w:ascii="Century Gothic" w:hAnsi="Century Gothic"/>
        </w:rPr>
        <w:t xml:space="preserve"> og sam</w:t>
      </w:r>
      <w:r w:rsidR="005A74CD" w:rsidRPr="00743B8F">
        <w:rPr>
          <w:rFonts w:ascii="Century Gothic" w:hAnsi="Century Gothic"/>
        </w:rPr>
        <w:t xml:space="preserve">spil med det omgivende energisystem. </w:t>
      </w:r>
    </w:p>
    <w:p w14:paraId="242D3F2D" w14:textId="1DC0B359" w:rsidR="00954900" w:rsidRPr="00C65BB4" w:rsidRDefault="002731BB" w:rsidP="00A04C09">
      <w:pPr>
        <w:pStyle w:val="ListParagraph"/>
        <w:numPr>
          <w:ilvl w:val="1"/>
          <w:numId w:val="3"/>
        </w:numPr>
        <w:ind w:left="788" w:hanging="431"/>
        <w:contextualSpacing w:val="0"/>
        <w:rPr>
          <w:rFonts w:ascii="Century Gothic" w:hAnsi="Century Gothic"/>
        </w:rPr>
      </w:pPr>
      <w:r w:rsidRPr="00C65BB4">
        <w:rPr>
          <w:rFonts w:ascii="Century Gothic" w:hAnsi="Century Gothic"/>
        </w:rPr>
        <w:t>REO anbefaler, at regering</w:t>
      </w:r>
      <w:r w:rsidR="00981AD9" w:rsidRPr="00C65BB4">
        <w:rPr>
          <w:rFonts w:ascii="Century Gothic" w:hAnsi="Century Gothic"/>
        </w:rPr>
        <w:t>en</w:t>
      </w:r>
      <w:r w:rsidRPr="00C65BB4">
        <w:rPr>
          <w:rFonts w:ascii="Century Gothic" w:hAnsi="Century Gothic"/>
        </w:rPr>
        <w:t xml:space="preserve"> støtte</w:t>
      </w:r>
      <w:r w:rsidR="00BC3CE7" w:rsidRPr="00C65BB4">
        <w:rPr>
          <w:rFonts w:ascii="Century Gothic" w:hAnsi="Century Gothic"/>
        </w:rPr>
        <w:t>r</w:t>
      </w:r>
      <w:r w:rsidRPr="00C65BB4">
        <w:rPr>
          <w:rFonts w:ascii="Century Gothic" w:hAnsi="Century Gothic"/>
        </w:rPr>
        <w:t xml:space="preserve"> Kommissionens arbejde med standardisering inden for renovering af intelligente bygninger, herunder certificering af energieffektivitetsmålere og sensorer i bygninger. Klare og harmoniserede standarder vil være med til at lette overgang</w:t>
      </w:r>
      <w:r w:rsidR="00BC3CE7" w:rsidRPr="00C65BB4">
        <w:rPr>
          <w:rFonts w:ascii="Century Gothic" w:hAnsi="Century Gothic"/>
        </w:rPr>
        <w:t>en</w:t>
      </w:r>
      <w:r w:rsidRPr="00C65BB4">
        <w:rPr>
          <w:rFonts w:ascii="Century Gothic" w:hAnsi="Century Gothic"/>
        </w:rPr>
        <w:t xml:space="preserve"> til intelligente bygninger og muligheder for at indgå i samspil med energisystemet.</w:t>
      </w:r>
    </w:p>
    <w:p w14:paraId="69189FEA" w14:textId="2C356BE3" w:rsidR="00873CE6" w:rsidRPr="008B78E3" w:rsidRDefault="00873CE6" w:rsidP="00954900">
      <w:pPr>
        <w:spacing w:after="200" w:line="276" w:lineRule="auto"/>
        <w:rPr>
          <w:rFonts w:ascii="Century Gothic" w:hAnsi="Century Gothic"/>
        </w:rPr>
      </w:pPr>
      <w:r>
        <w:rPr>
          <w:noProof/>
        </w:rPr>
        <mc:AlternateContent>
          <mc:Choice Requires="wps">
            <w:drawing>
              <wp:anchor distT="0" distB="0" distL="114300" distR="114300" simplePos="0" relativeHeight="251659264" behindDoc="0" locked="0" layoutInCell="1" allowOverlap="1" wp14:anchorId="2899186E" wp14:editId="2F5AEF6A">
                <wp:simplePos x="0" y="0"/>
                <wp:positionH relativeFrom="margin">
                  <wp:align>right</wp:align>
                </wp:positionH>
                <wp:positionV relativeFrom="margin">
                  <wp:posOffset>7362190</wp:posOffset>
                </wp:positionV>
                <wp:extent cx="6096000" cy="1176020"/>
                <wp:effectExtent l="0" t="0" r="19050" b="24130"/>
                <wp:wrapTopAndBottom/>
                <wp:docPr id="2" name="Text Box 2"/>
                <wp:cNvGraphicFramePr/>
                <a:graphic xmlns:a="http://schemas.openxmlformats.org/drawingml/2006/main">
                  <a:graphicData uri="http://schemas.microsoft.com/office/word/2010/wordprocessingShape">
                    <wps:wsp>
                      <wps:cNvSpPr txBox="1"/>
                      <wps:spPr>
                        <a:xfrm>
                          <a:off x="0" y="0"/>
                          <a:ext cx="6096000" cy="1176020"/>
                        </a:xfrm>
                        <a:prstGeom prst="rect">
                          <a:avLst/>
                        </a:prstGeom>
                        <a:solidFill>
                          <a:schemeClr val="lt1"/>
                        </a:solidFill>
                        <a:ln w="9525">
                          <a:solidFill>
                            <a:srgbClr val="276E8B"/>
                          </a:solidFill>
                        </a:ln>
                      </wps:spPr>
                      <wps:txbx>
                        <w:txbxContent>
                          <w:p w14:paraId="774A6877" w14:textId="77777777" w:rsidR="00873CE6" w:rsidRPr="00C44D2F" w:rsidRDefault="00873CE6" w:rsidP="00873CE6">
                            <w:pPr>
                              <w:tabs>
                                <w:tab w:val="left" w:pos="851"/>
                                <w:tab w:val="left" w:pos="1701"/>
                                <w:tab w:val="left" w:pos="2552"/>
                                <w:tab w:val="left" w:pos="3402"/>
                                <w:tab w:val="left" w:pos="4253"/>
                                <w:tab w:val="left" w:pos="5103"/>
                                <w:tab w:val="left" w:pos="5954"/>
                                <w:tab w:val="left" w:pos="6804"/>
                                <w:tab w:val="left" w:pos="7655"/>
                              </w:tabs>
                              <w:spacing w:after="240" w:line="240" w:lineRule="auto"/>
                              <w:rPr>
                                <w:rFonts w:ascii="Century Gothic" w:hAnsi="Century Gothic"/>
                                <w:color w:val="276E8B"/>
                              </w:rPr>
                            </w:pPr>
                            <w:r w:rsidRPr="00C44D2F">
                              <w:rPr>
                                <w:rFonts w:ascii="Century Gothic" w:hAnsi="Century Gothic"/>
                                <w:b/>
                                <w:bCs/>
                                <w:color w:val="276E8B"/>
                              </w:rPr>
                              <w:t>R</w:t>
                            </w:r>
                            <w:r w:rsidRPr="00C44D2F">
                              <w:rPr>
                                <w:rFonts w:ascii="Century Gothic" w:hAnsi="Century Gothic"/>
                                <w:color w:val="276E8B"/>
                              </w:rPr>
                              <w:t xml:space="preserve">ådet for </w:t>
                            </w:r>
                            <w:r w:rsidRPr="00C44D2F">
                              <w:rPr>
                                <w:rFonts w:ascii="Century Gothic" w:hAnsi="Century Gothic"/>
                                <w:b/>
                                <w:bCs/>
                                <w:color w:val="276E8B"/>
                              </w:rPr>
                              <w:t>E</w:t>
                            </w:r>
                            <w:r w:rsidRPr="00C44D2F">
                              <w:rPr>
                                <w:rFonts w:ascii="Century Gothic" w:hAnsi="Century Gothic"/>
                                <w:color w:val="276E8B"/>
                              </w:rPr>
                              <w:t xml:space="preserve">nergieffektiv </w:t>
                            </w:r>
                            <w:r w:rsidRPr="00C44D2F">
                              <w:rPr>
                                <w:rFonts w:ascii="Century Gothic" w:hAnsi="Century Gothic"/>
                                <w:b/>
                                <w:bCs/>
                                <w:color w:val="276E8B"/>
                              </w:rPr>
                              <w:t>O</w:t>
                            </w:r>
                            <w:r w:rsidRPr="00C44D2F">
                              <w:rPr>
                                <w:rFonts w:ascii="Century Gothic" w:hAnsi="Century Gothic"/>
                                <w:color w:val="276E8B"/>
                              </w:rPr>
                              <w:t xml:space="preserve">mstilling har ønsket, at rådgivningen til ministeren bliver så konkret som mulig, set i lyset af at mange emner har en højaktuel relevans under en særdeles stram tidsplan. Rådets anbefalinger skal læses som retningsgivende for det videre arbejde, men bør suppleres med en grundigere konkretisering, herunder med inddragelse af interessenter, forud for fremtidig politisk beslutningstagen. </w:t>
                            </w:r>
                          </w:p>
                          <w:p w14:paraId="7C968348" w14:textId="77777777" w:rsidR="00873CE6" w:rsidRDefault="00873CE6" w:rsidP="00873CE6"/>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9186E" id="_x0000_t202" coordsize="21600,21600" o:spt="202" path="m,l,21600r21600,l21600,xe">
                <v:stroke joinstyle="miter"/>
                <v:path gradientshapeok="t" o:connecttype="rect"/>
              </v:shapetype>
              <v:shape id="Text Box 2" o:spid="_x0000_s1026" type="#_x0000_t202" style="position:absolute;margin-left:428.8pt;margin-top:579.7pt;width:480pt;height:9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" fillcolor="white [3201]" strokecolor="#276e8b">
                <v:textbox inset="5mm,5mm,5mm,5mm">
                  <w:txbxContent>
                    <w:p w14:paraId="774A6877" w14:textId="77777777" w:rsidR="00873CE6" w:rsidRPr="00C44D2F" w:rsidRDefault="00873CE6" w:rsidP="00873CE6">
                      <w:pPr>
                        <w:tabs>
                          <w:tab w:val="left" w:pos="851"/>
                          <w:tab w:val="left" w:pos="1701"/>
                          <w:tab w:val="left" w:pos="2552"/>
                          <w:tab w:val="left" w:pos="3402"/>
                          <w:tab w:val="left" w:pos="4253"/>
                          <w:tab w:val="left" w:pos="5103"/>
                          <w:tab w:val="left" w:pos="5954"/>
                          <w:tab w:val="left" w:pos="6804"/>
                          <w:tab w:val="left" w:pos="7655"/>
                        </w:tabs>
                        <w:spacing w:after="240" w:line="240" w:lineRule="auto"/>
                        <w:rPr>
                          <w:rFonts w:ascii="Century Gothic" w:hAnsi="Century Gothic"/>
                          <w:color w:val="276E8B"/>
                        </w:rPr>
                      </w:pPr>
                      <w:r w:rsidRPr="00C44D2F">
                        <w:rPr>
                          <w:rFonts w:ascii="Century Gothic" w:hAnsi="Century Gothic"/>
                          <w:b/>
                          <w:bCs/>
                          <w:color w:val="276E8B"/>
                        </w:rPr>
                        <w:t>R</w:t>
                      </w:r>
                      <w:r w:rsidRPr="00C44D2F">
                        <w:rPr>
                          <w:rFonts w:ascii="Century Gothic" w:hAnsi="Century Gothic"/>
                          <w:color w:val="276E8B"/>
                        </w:rPr>
                        <w:t xml:space="preserve">ådet for </w:t>
                      </w:r>
                      <w:r w:rsidRPr="00C44D2F">
                        <w:rPr>
                          <w:rFonts w:ascii="Century Gothic" w:hAnsi="Century Gothic"/>
                          <w:b/>
                          <w:bCs/>
                          <w:color w:val="276E8B"/>
                        </w:rPr>
                        <w:t>E</w:t>
                      </w:r>
                      <w:r w:rsidRPr="00C44D2F">
                        <w:rPr>
                          <w:rFonts w:ascii="Century Gothic" w:hAnsi="Century Gothic"/>
                          <w:color w:val="276E8B"/>
                        </w:rPr>
                        <w:t xml:space="preserve">nergieffektiv </w:t>
                      </w:r>
                      <w:r w:rsidRPr="00C44D2F">
                        <w:rPr>
                          <w:rFonts w:ascii="Century Gothic" w:hAnsi="Century Gothic"/>
                          <w:b/>
                          <w:bCs/>
                          <w:color w:val="276E8B"/>
                        </w:rPr>
                        <w:t>O</w:t>
                      </w:r>
                      <w:r w:rsidRPr="00C44D2F">
                        <w:rPr>
                          <w:rFonts w:ascii="Century Gothic" w:hAnsi="Century Gothic"/>
                          <w:color w:val="276E8B"/>
                        </w:rPr>
                        <w:t xml:space="preserve">mstilling har ønsket, at rådgivningen til ministeren bliver så konkret som mulig, set i lyset af at mange emner har en højaktuel relevans under en særdeles stram tidsplan. Rådets anbefalinger skal læses som retningsgivende for det videre arbejde, men bør suppleres med en grundigere konkretisering, herunder med inddragelse af interessenter, forud for fremtidig politisk beslutningstagen. </w:t>
                      </w:r>
                    </w:p>
                    <w:p w14:paraId="7C968348" w14:textId="77777777" w:rsidR="00873CE6" w:rsidRDefault="00873CE6" w:rsidP="00873CE6"/>
                  </w:txbxContent>
                </v:textbox>
                <w10:wrap type="topAndBottom" anchorx="margin" anchory="margin"/>
              </v:shape>
            </w:pict>
          </mc:Fallback>
        </mc:AlternateContent>
      </w:r>
    </w:p>
    <w:sectPr w:rsidR="00873CE6" w:rsidRPr="008B78E3" w:rsidSect="000B7C2C">
      <w:headerReference w:type="default" r:id="rId11"/>
      <w:footerReference w:type="default" r:id="rId12"/>
      <w:headerReference w:type="first" r:id="rId13"/>
      <w:footerReference w:type="first" r:id="rId14"/>
      <w:pgSz w:w="11906" w:h="16838" w:code="9"/>
      <w:pgMar w:top="2268"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F0FD" w14:textId="77777777" w:rsidR="00533D4F" w:rsidRDefault="00533D4F" w:rsidP="008969C1">
      <w:pPr>
        <w:spacing w:line="240" w:lineRule="auto"/>
      </w:pPr>
      <w:r>
        <w:separator/>
      </w:r>
    </w:p>
  </w:endnote>
  <w:endnote w:type="continuationSeparator" w:id="0">
    <w:p w14:paraId="3CCD8115" w14:textId="77777777" w:rsidR="00533D4F" w:rsidRDefault="00533D4F" w:rsidP="008969C1">
      <w:pPr>
        <w:spacing w:line="240" w:lineRule="auto"/>
      </w:pPr>
      <w:r>
        <w:continuationSeparator/>
      </w:r>
    </w:p>
  </w:endnote>
  <w:endnote w:type="continuationNotice" w:id="1">
    <w:p w14:paraId="03180803" w14:textId="77777777" w:rsidR="00533D4F" w:rsidRDefault="00533D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495D" w14:textId="1F695AED" w:rsidR="008969C1" w:rsidRPr="008B78E3" w:rsidRDefault="008969C1" w:rsidP="008B78E3">
    <w:pPr>
      <w:pStyle w:val="Footer"/>
      <w:jc w:val="right"/>
      <w:rPr>
        <w:rFonts w:ascii="Century Gothic" w:hAnsi="Century Gothic"/>
      </w:rPr>
    </w:pPr>
    <w:r w:rsidRPr="008B78E3">
      <w:rPr>
        <w:rFonts w:ascii="Century Gothic" w:hAnsi="Century Gothic"/>
      </w:rPr>
      <w:t xml:space="preserve">Side </w:t>
    </w:r>
    <w:r w:rsidRPr="008B78E3">
      <w:rPr>
        <w:rFonts w:ascii="Century Gothic" w:hAnsi="Century Gothic"/>
      </w:rPr>
      <w:fldChar w:fldCharType="begin"/>
    </w:r>
    <w:r w:rsidRPr="008B78E3">
      <w:rPr>
        <w:rFonts w:ascii="Century Gothic" w:hAnsi="Century Gothic"/>
      </w:rPr>
      <w:instrText xml:space="preserve"> PAGE </w:instrText>
    </w:r>
    <w:r w:rsidRPr="008B78E3">
      <w:rPr>
        <w:rFonts w:ascii="Century Gothic" w:hAnsi="Century Gothic"/>
      </w:rPr>
      <w:fldChar w:fldCharType="separate"/>
    </w:r>
    <w:r w:rsidR="00367C36" w:rsidRPr="008B78E3">
      <w:rPr>
        <w:rFonts w:ascii="Century Gothic" w:hAnsi="Century Gothic"/>
        <w:noProof/>
      </w:rPr>
      <w:t>2</w:t>
    </w:r>
    <w:r w:rsidRPr="008B78E3">
      <w:rPr>
        <w:rFonts w:ascii="Century Gothic" w:hAnsi="Century Gothic"/>
      </w:rPr>
      <w:fldChar w:fldCharType="end"/>
    </w:r>
    <w:r w:rsidRPr="008B78E3">
      <w:rPr>
        <w:rFonts w:ascii="Century Gothic" w:hAnsi="Century Gothic"/>
      </w:rPr>
      <w:t>/</w:t>
    </w:r>
    <w:r w:rsidR="00720474" w:rsidRPr="008B78E3">
      <w:rPr>
        <w:rFonts w:ascii="Century Gothic" w:hAnsi="Century Gothic"/>
      </w:rPr>
      <w:fldChar w:fldCharType="begin"/>
    </w:r>
    <w:r w:rsidR="00720474" w:rsidRPr="008B78E3">
      <w:rPr>
        <w:rFonts w:ascii="Century Gothic" w:hAnsi="Century Gothic"/>
      </w:rPr>
      <w:instrText xml:space="preserve"> NUMPAGES </w:instrText>
    </w:r>
    <w:r w:rsidR="00720474" w:rsidRPr="008B78E3">
      <w:rPr>
        <w:rFonts w:ascii="Century Gothic" w:hAnsi="Century Gothic"/>
      </w:rPr>
      <w:fldChar w:fldCharType="separate"/>
    </w:r>
    <w:r w:rsidR="00367C36" w:rsidRPr="008B78E3">
      <w:rPr>
        <w:rFonts w:ascii="Century Gothic" w:hAnsi="Century Gothic"/>
        <w:noProof/>
      </w:rPr>
      <w:t>2</w:t>
    </w:r>
    <w:r w:rsidR="00720474" w:rsidRPr="008B78E3">
      <w:rPr>
        <w:rFonts w:ascii="Century Gothic" w:hAnsi="Century Gothic"/>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AF86" w14:textId="0D5DA825" w:rsidR="008969C1" w:rsidRPr="00DE15CF" w:rsidRDefault="008969C1">
    <w:pPr>
      <w:pStyle w:val="Footer"/>
    </w:pPr>
    <w:r w:rsidRPr="00DE15CF">
      <w:t xml:space="preserve">Side </w:t>
    </w:r>
    <w:r w:rsidRPr="00DE15CF">
      <w:fldChar w:fldCharType="begin"/>
    </w:r>
    <w:r w:rsidRPr="00DE15CF">
      <w:instrText xml:space="preserve"> PAGE </w:instrText>
    </w:r>
    <w:r w:rsidRPr="00DE15CF">
      <w:fldChar w:fldCharType="separate"/>
    </w:r>
    <w:r w:rsidR="00367C36">
      <w:rPr>
        <w:noProof/>
      </w:rPr>
      <w:t>1</w:t>
    </w:r>
    <w:r w:rsidRPr="00DE15CF">
      <w:fldChar w:fldCharType="end"/>
    </w:r>
    <w:r w:rsidRPr="00DE15CF">
      <w:t>/</w:t>
    </w:r>
    <w:fldSimple w:instr=" NUMPAGES ">
      <w:r w:rsidR="00367C36">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8F739" w14:textId="77777777" w:rsidR="00533D4F" w:rsidRDefault="00533D4F" w:rsidP="008969C1">
      <w:pPr>
        <w:spacing w:line="240" w:lineRule="auto"/>
      </w:pPr>
      <w:r>
        <w:separator/>
      </w:r>
    </w:p>
  </w:footnote>
  <w:footnote w:type="continuationSeparator" w:id="0">
    <w:p w14:paraId="642AAD12" w14:textId="77777777" w:rsidR="00533D4F" w:rsidRDefault="00533D4F" w:rsidP="008969C1">
      <w:pPr>
        <w:spacing w:line="240" w:lineRule="auto"/>
      </w:pPr>
      <w:r>
        <w:continuationSeparator/>
      </w:r>
    </w:p>
  </w:footnote>
  <w:footnote w:type="continuationNotice" w:id="1">
    <w:p w14:paraId="7E362D2F" w14:textId="77777777" w:rsidR="00533D4F" w:rsidRDefault="00533D4F">
      <w:pPr>
        <w:spacing w:line="240" w:lineRule="auto"/>
      </w:pPr>
    </w:p>
  </w:footnote>
  <w:footnote w:id="2">
    <w:p w14:paraId="6A5E20B3" w14:textId="2D201B03" w:rsidR="00EF3A0D" w:rsidRPr="00EF3A0D" w:rsidRDefault="00EF3A0D">
      <w:pPr>
        <w:pStyle w:val="FootnoteText"/>
      </w:pPr>
      <w:r>
        <w:rPr>
          <w:rStyle w:val="FootnoteReference"/>
        </w:rPr>
        <w:footnoteRef/>
      </w:r>
      <w:r>
        <w:t xml:space="preserve"> </w:t>
      </w:r>
      <w:hyperlink r:id="rId1" w:history="1">
        <w:r w:rsidRPr="00B15016">
          <w:rPr>
            <w:rStyle w:val="Hyperlink"/>
            <w:rFonts w:ascii="Century Gothic" w:hAnsi="Century Gothic"/>
            <w:sz w:val="16"/>
            <w:szCs w:val="16"/>
          </w:rPr>
          <w:t>Analyse af betydningen af mere ambitiøse EU klimamål frem mod 2030 for dansk eksport af energiteknologier (synergiorg.dk)</w:t>
        </w:r>
      </w:hyperlink>
      <w:r w:rsidR="00860635" w:rsidRPr="00B15016">
        <w:rPr>
          <w:sz w:val="16"/>
          <w:szCs w:val="16"/>
        </w:rPr>
        <w:t xml:space="preserve"> </w:t>
      </w:r>
    </w:p>
  </w:footnote>
  <w:footnote w:id="3">
    <w:p w14:paraId="08E5787C" w14:textId="0CF74F67" w:rsidR="00275099" w:rsidRPr="00275099" w:rsidRDefault="00275099">
      <w:pPr>
        <w:pStyle w:val="FootnoteText"/>
      </w:pPr>
      <w:r>
        <w:rPr>
          <w:rStyle w:val="FootnoteReference"/>
        </w:rPr>
        <w:footnoteRef/>
      </w:r>
      <w:r>
        <w:t xml:space="preserve"> </w:t>
      </w:r>
      <w:r w:rsidR="00A42ED9" w:rsidRPr="00323C5D">
        <w:rPr>
          <w:rFonts w:ascii="Century Gothic" w:hAnsi="Century Gothic"/>
          <w:sz w:val="16"/>
          <w:szCs w:val="16"/>
        </w:rPr>
        <w:t>Beregninge</w:t>
      </w:r>
      <w:r w:rsidR="0002491A" w:rsidRPr="00323C5D">
        <w:rPr>
          <w:rFonts w:ascii="Century Gothic" w:hAnsi="Century Gothic"/>
          <w:sz w:val="16"/>
          <w:szCs w:val="16"/>
        </w:rPr>
        <w:t>r</w:t>
      </w:r>
      <w:r w:rsidR="00A42ED9" w:rsidRPr="00323C5D">
        <w:rPr>
          <w:rFonts w:ascii="Century Gothic" w:hAnsi="Century Gothic"/>
          <w:sz w:val="16"/>
          <w:szCs w:val="16"/>
        </w:rPr>
        <w:t>n</w:t>
      </w:r>
      <w:r w:rsidR="0002491A" w:rsidRPr="00323C5D">
        <w:rPr>
          <w:rFonts w:ascii="Century Gothic" w:hAnsi="Century Gothic"/>
          <w:sz w:val="16"/>
          <w:szCs w:val="16"/>
        </w:rPr>
        <w:t>e</w:t>
      </w:r>
      <w:r w:rsidR="00A42ED9" w:rsidRPr="00323C5D">
        <w:rPr>
          <w:rFonts w:ascii="Century Gothic" w:hAnsi="Century Gothic"/>
          <w:sz w:val="16"/>
          <w:szCs w:val="16"/>
        </w:rPr>
        <w:t xml:space="preserve"> </w:t>
      </w:r>
      <w:r w:rsidR="00C43160" w:rsidRPr="00323C5D">
        <w:rPr>
          <w:rFonts w:ascii="Century Gothic" w:hAnsi="Century Gothic"/>
          <w:sz w:val="16"/>
          <w:szCs w:val="16"/>
        </w:rPr>
        <w:t>er foretaget af BUILD – Institut for Byggeri, By og Miljø, Aalborg Universitet – for</w:t>
      </w:r>
      <w:r w:rsidR="008D79FF" w:rsidRPr="00323C5D">
        <w:rPr>
          <w:rFonts w:ascii="Century Gothic" w:hAnsi="Century Gothic"/>
          <w:sz w:val="16"/>
          <w:szCs w:val="16"/>
        </w:rPr>
        <w:t xml:space="preserve"> </w:t>
      </w:r>
      <w:r w:rsidR="00A42ED9" w:rsidRPr="00323C5D">
        <w:rPr>
          <w:rFonts w:ascii="Century Gothic" w:hAnsi="Century Gothic"/>
          <w:sz w:val="16"/>
          <w:szCs w:val="16"/>
        </w:rPr>
        <w:t>Landsbyggefonden</w:t>
      </w:r>
      <w:r w:rsidR="00C43160" w:rsidRPr="00323C5D">
        <w:rPr>
          <w:rFonts w:ascii="Century Gothic" w:hAnsi="Century Gothic"/>
          <w:sz w:val="16"/>
          <w:szCs w:val="16"/>
        </w:rPr>
        <w:t xml:space="preserve"> og kan rekvireres hos Landsbyggefonden</w:t>
      </w:r>
      <w:r w:rsidR="008D79FF" w:rsidRPr="00323C5D">
        <w:rPr>
          <w:rFonts w:ascii="Century Gothic" w:hAnsi="Century Gothic"/>
          <w:sz w:val="16"/>
          <w:szCs w:val="16"/>
        </w:rPr>
        <w:t>.</w:t>
      </w:r>
      <w:r w:rsidR="00A42ED9" w:rsidRPr="00323C5D">
        <w:rPr>
          <w:rFonts w:ascii="Century Gothic" w:hAnsi="Century Gothic"/>
          <w:sz w:val="16"/>
          <w:szCs w:val="16"/>
        </w:rPr>
        <w:t xml:space="preserve"> Rapportens beregninger følger metoden opgjort i </w:t>
      </w:r>
      <w:proofErr w:type="spellStart"/>
      <w:r w:rsidR="00A42ED9" w:rsidRPr="00323C5D">
        <w:rPr>
          <w:rFonts w:ascii="Century Gothic" w:hAnsi="Century Gothic"/>
          <w:sz w:val="16"/>
          <w:szCs w:val="16"/>
        </w:rPr>
        <w:t>S</w:t>
      </w:r>
      <w:r w:rsidR="00C43160" w:rsidRPr="00323C5D">
        <w:rPr>
          <w:rFonts w:ascii="Century Gothic" w:hAnsi="Century Gothic"/>
          <w:sz w:val="16"/>
          <w:szCs w:val="16"/>
        </w:rPr>
        <w:t>B</w:t>
      </w:r>
      <w:r w:rsidR="00A42ED9" w:rsidRPr="00323C5D">
        <w:rPr>
          <w:rFonts w:ascii="Century Gothic" w:hAnsi="Century Gothic"/>
          <w:sz w:val="16"/>
          <w:szCs w:val="16"/>
        </w:rPr>
        <w:t>I’s</w:t>
      </w:r>
      <w:proofErr w:type="spellEnd"/>
      <w:r w:rsidR="00A42ED9" w:rsidRPr="00323C5D">
        <w:rPr>
          <w:rFonts w:ascii="Century Gothic" w:hAnsi="Century Gothic"/>
          <w:sz w:val="16"/>
          <w:szCs w:val="16"/>
        </w:rPr>
        <w:t xml:space="preserve"> generelle rapport om varmebesparelse i eksisterende bygninger: </w:t>
      </w:r>
      <w:hyperlink r:id="rId2" w:history="1">
        <w:r w:rsidR="00A42ED9" w:rsidRPr="00323C5D">
          <w:rPr>
            <w:rStyle w:val="Hyperlink"/>
            <w:rFonts w:ascii="Century Gothic" w:hAnsi="Century Gothic"/>
            <w:sz w:val="16"/>
            <w:szCs w:val="16"/>
          </w:rPr>
          <w:t>https://build.dk/Pages/Varmebesparelse-i-eksisterende-bygninger.aspx</w:t>
        </w:r>
      </w:hyperlink>
      <w:r w:rsidR="00A42ED9" w:rsidRPr="00323C5D">
        <w:rPr>
          <w:rFonts w:ascii="Century Gothic" w:hAnsi="Century Gothic"/>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0ED" w14:textId="5BFCF36D" w:rsidR="007D5D35" w:rsidRDefault="00B80C5C">
    <w:pPr>
      <w:pStyle w:val="Header"/>
    </w:pPr>
    <w:r>
      <w:rPr>
        <w:noProof/>
        <w:lang w:eastAsia="da-DK"/>
      </w:rPr>
      <w:drawing>
        <wp:anchor distT="0" distB="0" distL="114300" distR="114300" simplePos="0" relativeHeight="251680768" behindDoc="0" locked="0" layoutInCell="1" allowOverlap="1" wp14:anchorId="121377A3" wp14:editId="74F7C94F">
          <wp:simplePos x="0" y="0"/>
          <wp:positionH relativeFrom="margin">
            <wp:posOffset>4500880</wp:posOffset>
          </wp:positionH>
          <wp:positionV relativeFrom="topMargin">
            <wp:posOffset>360045</wp:posOffset>
          </wp:positionV>
          <wp:extent cx="1566000" cy="900000"/>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stretch>
                    <a:fillRect/>
                  </a:stretch>
                </pic:blipFill>
                <pic:spPr>
                  <a:xfrm>
                    <a:off x="0" y="0"/>
                    <a:ext cx="1566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AC8D" w14:textId="1F9B2715" w:rsidR="008969C1" w:rsidRDefault="00F131AF">
    <w:pPr>
      <w:pStyle w:val="Header"/>
    </w:pPr>
    <w:r>
      <w:rPr>
        <w:noProof/>
        <w:lang w:eastAsia="da-DK"/>
      </w:rPr>
      <w:drawing>
        <wp:anchor distT="0" distB="0" distL="114300" distR="114300" simplePos="0" relativeHeight="251678720" behindDoc="0" locked="0" layoutInCell="1" allowOverlap="1" wp14:anchorId="1E371D0F" wp14:editId="0C97DC5D">
          <wp:simplePos x="0" y="0"/>
          <wp:positionH relativeFrom="margin">
            <wp:posOffset>4500880</wp:posOffset>
          </wp:positionH>
          <wp:positionV relativeFrom="topMargin">
            <wp:posOffset>360045</wp:posOffset>
          </wp:positionV>
          <wp:extent cx="1566000" cy="9000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stretch>
                    <a:fillRect/>
                  </a:stretch>
                </pic:blipFill>
                <pic:spPr>
                  <a:xfrm>
                    <a:off x="0" y="0"/>
                    <a:ext cx="1566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D02AA"/>
    <w:multiLevelType w:val="multilevel"/>
    <w:tmpl w:val="3BA8F774"/>
    <w:lvl w:ilvl="0">
      <w:start w:val="1"/>
      <w:numFmt w:val="decimal"/>
      <w:lvlText w:val="%1."/>
      <w:lvlJc w:val="left"/>
      <w:pPr>
        <w:ind w:left="360" w:hanging="360"/>
      </w:pPr>
      <w:rPr>
        <w:rFonts w:hint="default"/>
      </w:rPr>
    </w:lvl>
    <w:lvl w:ilvl="1">
      <w:start w:val="1"/>
      <w:numFmt w:val="decimal"/>
      <w:lvlText w:val="%1.%2."/>
      <w:lvlJc w:val="left"/>
      <w:pPr>
        <w:ind w:left="432" w:hanging="432"/>
      </w:pPr>
      <w:rPr>
        <w:strike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F85BF0"/>
    <w:multiLevelType w:val="hybridMultilevel"/>
    <w:tmpl w:val="4CC48F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106787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C14E3E"/>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484E7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B122E0"/>
    <w:multiLevelType w:val="hybridMultilevel"/>
    <w:tmpl w:val="5B10D7B2"/>
    <w:lvl w:ilvl="0" w:tplc="20000001">
      <w:start w:val="1"/>
      <w:numFmt w:val="bullet"/>
      <w:lvlText w:val=""/>
      <w:lvlJc w:val="left"/>
      <w:pPr>
        <w:ind w:left="1148" w:hanging="360"/>
      </w:pPr>
      <w:rPr>
        <w:rFonts w:ascii="Symbol" w:hAnsi="Symbol" w:hint="default"/>
      </w:rPr>
    </w:lvl>
    <w:lvl w:ilvl="1" w:tplc="20000003" w:tentative="1">
      <w:start w:val="1"/>
      <w:numFmt w:val="bullet"/>
      <w:lvlText w:val="o"/>
      <w:lvlJc w:val="left"/>
      <w:pPr>
        <w:ind w:left="1868" w:hanging="360"/>
      </w:pPr>
      <w:rPr>
        <w:rFonts w:ascii="Courier New" w:hAnsi="Courier New" w:cs="Courier New" w:hint="default"/>
      </w:rPr>
    </w:lvl>
    <w:lvl w:ilvl="2" w:tplc="20000005" w:tentative="1">
      <w:start w:val="1"/>
      <w:numFmt w:val="bullet"/>
      <w:lvlText w:val=""/>
      <w:lvlJc w:val="left"/>
      <w:pPr>
        <w:ind w:left="2588" w:hanging="360"/>
      </w:pPr>
      <w:rPr>
        <w:rFonts w:ascii="Wingdings" w:hAnsi="Wingdings" w:hint="default"/>
      </w:rPr>
    </w:lvl>
    <w:lvl w:ilvl="3" w:tplc="20000001" w:tentative="1">
      <w:start w:val="1"/>
      <w:numFmt w:val="bullet"/>
      <w:lvlText w:val=""/>
      <w:lvlJc w:val="left"/>
      <w:pPr>
        <w:ind w:left="3308" w:hanging="360"/>
      </w:pPr>
      <w:rPr>
        <w:rFonts w:ascii="Symbol" w:hAnsi="Symbol" w:hint="default"/>
      </w:rPr>
    </w:lvl>
    <w:lvl w:ilvl="4" w:tplc="20000003" w:tentative="1">
      <w:start w:val="1"/>
      <w:numFmt w:val="bullet"/>
      <w:lvlText w:val="o"/>
      <w:lvlJc w:val="left"/>
      <w:pPr>
        <w:ind w:left="4028" w:hanging="360"/>
      </w:pPr>
      <w:rPr>
        <w:rFonts w:ascii="Courier New" w:hAnsi="Courier New" w:cs="Courier New" w:hint="default"/>
      </w:rPr>
    </w:lvl>
    <w:lvl w:ilvl="5" w:tplc="20000005" w:tentative="1">
      <w:start w:val="1"/>
      <w:numFmt w:val="bullet"/>
      <w:lvlText w:val=""/>
      <w:lvlJc w:val="left"/>
      <w:pPr>
        <w:ind w:left="4748" w:hanging="360"/>
      </w:pPr>
      <w:rPr>
        <w:rFonts w:ascii="Wingdings" w:hAnsi="Wingdings" w:hint="default"/>
      </w:rPr>
    </w:lvl>
    <w:lvl w:ilvl="6" w:tplc="20000001" w:tentative="1">
      <w:start w:val="1"/>
      <w:numFmt w:val="bullet"/>
      <w:lvlText w:val=""/>
      <w:lvlJc w:val="left"/>
      <w:pPr>
        <w:ind w:left="5468" w:hanging="360"/>
      </w:pPr>
      <w:rPr>
        <w:rFonts w:ascii="Symbol" w:hAnsi="Symbol" w:hint="default"/>
      </w:rPr>
    </w:lvl>
    <w:lvl w:ilvl="7" w:tplc="20000003" w:tentative="1">
      <w:start w:val="1"/>
      <w:numFmt w:val="bullet"/>
      <w:lvlText w:val="o"/>
      <w:lvlJc w:val="left"/>
      <w:pPr>
        <w:ind w:left="6188" w:hanging="360"/>
      </w:pPr>
      <w:rPr>
        <w:rFonts w:ascii="Courier New" w:hAnsi="Courier New" w:cs="Courier New" w:hint="default"/>
      </w:rPr>
    </w:lvl>
    <w:lvl w:ilvl="8" w:tplc="20000005" w:tentative="1">
      <w:start w:val="1"/>
      <w:numFmt w:val="bullet"/>
      <w:lvlText w:val=""/>
      <w:lvlJc w:val="left"/>
      <w:pPr>
        <w:ind w:left="6908" w:hanging="360"/>
      </w:pPr>
      <w:rPr>
        <w:rFonts w:ascii="Wingdings" w:hAnsi="Wingdings" w:hint="default"/>
      </w:rPr>
    </w:lvl>
  </w:abstractNum>
  <w:abstractNum w:abstractNumId="6" w15:restartNumberingAfterBreak="0">
    <w:nsid w:val="715F0F8E"/>
    <w:multiLevelType w:val="hybridMultilevel"/>
    <w:tmpl w:val="27DCAD14"/>
    <w:lvl w:ilvl="0" w:tplc="9F120A1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25F688A"/>
    <w:multiLevelType w:val="multilevel"/>
    <w:tmpl w:val="0BE24F84"/>
    <w:lvl w:ilvl="0">
      <w:start w:val="9"/>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4633BEA"/>
    <w:multiLevelType w:val="multilevel"/>
    <w:tmpl w:val="5970718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5"/>
  </w:num>
  <w:num w:numId="5">
    <w:abstractNumId w:val="4"/>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E19"/>
    <w:rsid w:val="00002B99"/>
    <w:rsid w:val="00003572"/>
    <w:rsid w:val="00011906"/>
    <w:rsid w:val="000137EE"/>
    <w:rsid w:val="00022817"/>
    <w:rsid w:val="0002491A"/>
    <w:rsid w:val="00025AA8"/>
    <w:rsid w:val="000260EC"/>
    <w:rsid w:val="00036061"/>
    <w:rsid w:val="0004646F"/>
    <w:rsid w:val="00046F18"/>
    <w:rsid w:val="00063557"/>
    <w:rsid w:val="0006355B"/>
    <w:rsid w:val="00065C74"/>
    <w:rsid w:val="00071350"/>
    <w:rsid w:val="00072C6E"/>
    <w:rsid w:val="000742F0"/>
    <w:rsid w:val="00075650"/>
    <w:rsid w:val="00077C6C"/>
    <w:rsid w:val="00083FE8"/>
    <w:rsid w:val="000846A2"/>
    <w:rsid w:val="00086163"/>
    <w:rsid w:val="00096BCB"/>
    <w:rsid w:val="000A2BAC"/>
    <w:rsid w:val="000A61CD"/>
    <w:rsid w:val="000B6697"/>
    <w:rsid w:val="000B7C2C"/>
    <w:rsid w:val="000B7FCE"/>
    <w:rsid w:val="000C67AB"/>
    <w:rsid w:val="000C6DDD"/>
    <w:rsid w:val="000D26C5"/>
    <w:rsid w:val="000D7009"/>
    <w:rsid w:val="000E0159"/>
    <w:rsid w:val="000E24B9"/>
    <w:rsid w:val="000F20CA"/>
    <w:rsid w:val="000F59D0"/>
    <w:rsid w:val="00100AFC"/>
    <w:rsid w:val="00124781"/>
    <w:rsid w:val="00140C61"/>
    <w:rsid w:val="001426A1"/>
    <w:rsid w:val="00142FE2"/>
    <w:rsid w:val="00146F55"/>
    <w:rsid w:val="0014754D"/>
    <w:rsid w:val="00157F16"/>
    <w:rsid w:val="00162948"/>
    <w:rsid w:val="00164930"/>
    <w:rsid w:val="00164F2B"/>
    <w:rsid w:val="001724CD"/>
    <w:rsid w:val="001728F3"/>
    <w:rsid w:val="001733AA"/>
    <w:rsid w:val="001A0174"/>
    <w:rsid w:val="001A1016"/>
    <w:rsid w:val="001A677B"/>
    <w:rsid w:val="001B7461"/>
    <w:rsid w:val="001C4746"/>
    <w:rsid w:val="001C6543"/>
    <w:rsid w:val="001E5F9A"/>
    <w:rsid w:val="001F1CFC"/>
    <w:rsid w:val="001F2338"/>
    <w:rsid w:val="001F4DFC"/>
    <w:rsid w:val="002009C6"/>
    <w:rsid w:val="00204E70"/>
    <w:rsid w:val="00206699"/>
    <w:rsid w:val="00210594"/>
    <w:rsid w:val="00217088"/>
    <w:rsid w:val="0022067C"/>
    <w:rsid w:val="00236493"/>
    <w:rsid w:val="00243282"/>
    <w:rsid w:val="00251AE1"/>
    <w:rsid w:val="00255E26"/>
    <w:rsid w:val="002611C9"/>
    <w:rsid w:val="002731BB"/>
    <w:rsid w:val="00274823"/>
    <w:rsid w:val="00275099"/>
    <w:rsid w:val="002757B4"/>
    <w:rsid w:val="002758AF"/>
    <w:rsid w:val="0027768F"/>
    <w:rsid w:val="00277C90"/>
    <w:rsid w:val="002801DD"/>
    <w:rsid w:val="00284240"/>
    <w:rsid w:val="002861AB"/>
    <w:rsid w:val="002868B4"/>
    <w:rsid w:val="002A136E"/>
    <w:rsid w:val="002A237C"/>
    <w:rsid w:val="002A4D10"/>
    <w:rsid w:val="002A7FDC"/>
    <w:rsid w:val="002B456B"/>
    <w:rsid w:val="002D10FA"/>
    <w:rsid w:val="002D6A6C"/>
    <w:rsid w:val="002F26DE"/>
    <w:rsid w:val="002F4C64"/>
    <w:rsid w:val="002F5463"/>
    <w:rsid w:val="0030285E"/>
    <w:rsid w:val="00305579"/>
    <w:rsid w:val="0031082E"/>
    <w:rsid w:val="00323C5D"/>
    <w:rsid w:val="00326061"/>
    <w:rsid w:val="00336E29"/>
    <w:rsid w:val="0033705D"/>
    <w:rsid w:val="0034007A"/>
    <w:rsid w:val="00340819"/>
    <w:rsid w:val="003428BA"/>
    <w:rsid w:val="003431E9"/>
    <w:rsid w:val="003466EA"/>
    <w:rsid w:val="00347BCC"/>
    <w:rsid w:val="00350952"/>
    <w:rsid w:val="00352DBE"/>
    <w:rsid w:val="003546D3"/>
    <w:rsid w:val="00354F62"/>
    <w:rsid w:val="003579C1"/>
    <w:rsid w:val="0036650F"/>
    <w:rsid w:val="00366EC9"/>
    <w:rsid w:val="003671DF"/>
    <w:rsid w:val="003675A2"/>
    <w:rsid w:val="00367C36"/>
    <w:rsid w:val="003717A7"/>
    <w:rsid w:val="00385A63"/>
    <w:rsid w:val="00392597"/>
    <w:rsid w:val="003951C3"/>
    <w:rsid w:val="0039605D"/>
    <w:rsid w:val="003A3E85"/>
    <w:rsid w:val="003A631C"/>
    <w:rsid w:val="003A68D1"/>
    <w:rsid w:val="003B072E"/>
    <w:rsid w:val="003B31EC"/>
    <w:rsid w:val="003B5DBB"/>
    <w:rsid w:val="003B5E84"/>
    <w:rsid w:val="003B758C"/>
    <w:rsid w:val="003C55F5"/>
    <w:rsid w:val="003C628D"/>
    <w:rsid w:val="003E30EF"/>
    <w:rsid w:val="003F2EC3"/>
    <w:rsid w:val="003F7648"/>
    <w:rsid w:val="00404A1B"/>
    <w:rsid w:val="00406DCF"/>
    <w:rsid w:val="004129C4"/>
    <w:rsid w:val="00413C28"/>
    <w:rsid w:val="00414B4D"/>
    <w:rsid w:val="00420961"/>
    <w:rsid w:val="00424EC2"/>
    <w:rsid w:val="004358C2"/>
    <w:rsid w:val="00440321"/>
    <w:rsid w:val="00445061"/>
    <w:rsid w:val="00445D8D"/>
    <w:rsid w:val="004460F3"/>
    <w:rsid w:val="004617C0"/>
    <w:rsid w:val="00464D9A"/>
    <w:rsid w:val="00465B7C"/>
    <w:rsid w:val="00466A05"/>
    <w:rsid w:val="004704DA"/>
    <w:rsid w:val="0047111C"/>
    <w:rsid w:val="00486ABE"/>
    <w:rsid w:val="00492290"/>
    <w:rsid w:val="00495FAF"/>
    <w:rsid w:val="004A2763"/>
    <w:rsid w:val="004C17BB"/>
    <w:rsid w:val="004C419F"/>
    <w:rsid w:val="004D60C2"/>
    <w:rsid w:val="004D7609"/>
    <w:rsid w:val="004E12D3"/>
    <w:rsid w:val="004E45C3"/>
    <w:rsid w:val="004E46C6"/>
    <w:rsid w:val="004F236E"/>
    <w:rsid w:val="0050152C"/>
    <w:rsid w:val="00502FCC"/>
    <w:rsid w:val="005037FF"/>
    <w:rsid w:val="00506144"/>
    <w:rsid w:val="00506146"/>
    <w:rsid w:val="00513F0D"/>
    <w:rsid w:val="005242C4"/>
    <w:rsid w:val="00527652"/>
    <w:rsid w:val="00530F11"/>
    <w:rsid w:val="00533AC6"/>
    <w:rsid w:val="00533D4F"/>
    <w:rsid w:val="00535865"/>
    <w:rsid w:val="00544EBD"/>
    <w:rsid w:val="00547CF8"/>
    <w:rsid w:val="00550E5A"/>
    <w:rsid w:val="005522EF"/>
    <w:rsid w:val="0055369D"/>
    <w:rsid w:val="00554029"/>
    <w:rsid w:val="0056418E"/>
    <w:rsid w:val="0056733D"/>
    <w:rsid w:val="00573653"/>
    <w:rsid w:val="00575B7D"/>
    <w:rsid w:val="00585C01"/>
    <w:rsid w:val="00592D25"/>
    <w:rsid w:val="005A6F76"/>
    <w:rsid w:val="005A74CD"/>
    <w:rsid w:val="005B5F34"/>
    <w:rsid w:val="005C7F83"/>
    <w:rsid w:val="005F2A76"/>
    <w:rsid w:val="00601189"/>
    <w:rsid w:val="00604EFB"/>
    <w:rsid w:val="00605D08"/>
    <w:rsid w:val="006128D3"/>
    <w:rsid w:val="00615478"/>
    <w:rsid w:val="006202F5"/>
    <w:rsid w:val="00623DB2"/>
    <w:rsid w:val="00624FA9"/>
    <w:rsid w:val="006260EE"/>
    <w:rsid w:val="00633463"/>
    <w:rsid w:val="00642ACC"/>
    <w:rsid w:val="00644511"/>
    <w:rsid w:val="00645D16"/>
    <w:rsid w:val="0066432B"/>
    <w:rsid w:val="00666865"/>
    <w:rsid w:val="0067218B"/>
    <w:rsid w:val="00675B33"/>
    <w:rsid w:val="00675F96"/>
    <w:rsid w:val="006803EB"/>
    <w:rsid w:val="00682CDE"/>
    <w:rsid w:val="0068407C"/>
    <w:rsid w:val="00685599"/>
    <w:rsid w:val="00691F26"/>
    <w:rsid w:val="006930BB"/>
    <w:rsid w:val="006961D5"/>
    <w:rsid w:val="006A7F99"/>
    <w:rsid w:val="006B1888"/>
    <w:rsid w:val="006C0EF5"/>
    <w:rsid w:val="006D6210"/>
    <w:rsid w:val="006E21BC"/>
    <w:rsid w:val="006E235C"/>
    <w:rsid w:val="006E40E1"/>
    <w:rsid w:val="006E691D"/>
    <w:rsid w:val="006E79E1"/>
    <w:rsid w:val="006F6E8F"/>
    <w:rsid w:val="0070259E"/>
    <w:rsid w:val="00710D9F"/>
    <w:rsid w:val="00712BCE"/>
    <w:rsid w:val="00715749"/>
    <w:rsid w:val="00720474"/>
    <w:rsid w:val="007262B5"/>
    <w:rsid w:val="00726DD3"/>
    <w:rsid w:val="00743B8F"/>
    <w:rsid w:val="007469FD"/>
    <w:rsid w:val="00753BED"/>
    <w:rsid w:val="0075620B"/>
    <w:rsid w:val="00760D71"/>
    <w:rsid w:val="007636C2"/>
    <w:rsid w:val="007645FB"/>
    <w:rsid w:val="00773F0E"/>
    <w:rsid w:val="0077569A"/>
    <w:rsid w:val="00776676"/>
    <w:rsid w:val="00791EE3"/>
    <w:rsid w:val="007A4379"/>
    <w:rsid w:val="007A480F"/>
    <w:rsid w:val="007B1987"/>
    <w:rsid w:val="007B2C76"/>
    <w:rsid w:val="007B70F9"/>
    <w:rsid w:val="007D27EB"/>
    <w:rsid w:val="007D2D34"/>
    <w:rsid w:val="007D5D35"/>
    <w:rsid w:val="007D7049"/>
    <w:rsid w:val="007E44AE"/>
    <w:rsid w:val="007F0CA6"/>
    <w:rsid w:val="007F57EC"/>
    <w:rsid w:val="00800E2B"/>
    <w:rsid w:val="00801C2A"/>
    <w:rsid w:val="00802C9E"/>
    <w:rsid w:val="00807307"/>
    <w:rsid w:val="00813CAC"/>
    <w:rsid w:val="00815500"/>
    <w:rsid w:val="008176EC"/>
    <w:rsid w:val="00817C95"/>
    <w:rsid w:val="008259FB"/>
    <w:rsid w:val="008356D5"/>
    <w:rsid w:val="00860635"/>
    <w:rsid w:val="00860D9E"/>
    <w:rsid w:val="00866C4A"/>
    <w:rsid w:val="0087381C"/>
    <w:rsid w:val="00873CE6"/>
    <w:rsid w:val="00881004"/>
    <w:rsid w:val="00883051"/>
    <w:rsid w:val="008836D8"/>
    <w:rsid w:val="00890D69"/>
    <w:rsid w:val="008926AA"/>
    <w:rsid w:val="008954C7"/>
    <w:rsid w:val="00896539"/>
    <w:rsid w:val="008969C1"/>
    <w:rsid w:val="0089705A"/>
    <w:rsid w:val="008A00AE"/>
    <w:rsid w:val="008A2491"/>
    <w:rsid w:val="008A24E3"/>
    <w:rsid w:val="008A54A4"/>
    <w:rsid w:val="008B399F"/>
    <w:rsid w:val="008B4A09"/>
    <w:rsid w:val="008B78E3"/>
    <w:rsid w:val="008C0145"/>
    <w:rsid w:val="008C0E23"/>
    <w:rsid w:val="008D586B"/>
    <w:rsid w:val="008D6417"/>
    <w:rsid w:val="008D79FF"/>
    <w:rsid w:val="008E30CE"/>
    <w:rsid w:val="008F2666"/>
    <w:rsid w:val="008F3A8B"/>
    <w:rsid w:val="008F3D55"/>
    <w:rsid w:val="008F4273"/>
    <w:rsid w:val="00900A24"/>
    <w:rsid w:val="00902575"/>
    <w:rsid w:val="009109D5"/>
    <w:rsid w:val="00910E3F"/>
    <w:rsid w:val="0091368B"/>
    <w:rsid w:val="00914163"/>
    <w:rsid w:val="00923F35"/>
    <w:rsid w:val="00926668"/>
    <w:rsid w:val="009323C3"/>
    <w:rsid w:val="00933AE8"/>
    <w:rsid w:val="00943903"/>
    <w:rsid w:val="00944BE5"/>
    <w:rsid w:val="0094596B"/>
    <w:rsid w:val="009523B5"/>
    <w:rsid w:val="00954900"/>
    <w:rsid w:val="00955EEF"/>
    <w:rsid w:val="00964682"/>
    <w:rsid w:val="00971DFB"/>
    <w:rsid w:val="0097623D"/>
    <w:rsid w:val="00980C21"/>
    <w:rsid w:val="009814A0"/>
    <w:rsid w:val="00981AD9"/>
    <w:rsid w:val="009840A1"/>
    <w:rsid w:val="00990B9B"/>
    <w:rsid w:val="00995739"/>
    <w:rsid w:val="00997204"/>
    <w:rsid w:val="009A119D"/>
    <w:rsid w:val="009A31DB"/>
    <w:rsid w:val="009A79FC"/>
    <w:rsid w:val="009B1663"/>
    <w:rsid w:val="009B1C68"/>
    <w:rsid w:val="009C4E04"/>
    <w:rsid w:val="009C65E7"/>
    <w:rsid w:val="009D11B0"/>
    <w:rsid w:val="009D1350"/>
    <w:rsid w:val="009E12FF"/>
    <w:rsid w:val="009E49B9"/>
    <w:rsid w:val="009E5853"/>
    <w:rsid w:val="009E71B6"/>
    <w:rsid w:val="009F5BD6"/>
    <w:rsid w:val="00A04870"/>
    <w:rsid w:val="00A04C09"/>
    <w:rsid w:val="00A10768"/>
    <w:rsid w:val="00A112BE"/>
    <w:rsid w:val="00A23F1D"/>
    <w:rsid w:val="00A30A6B"/>
    <w:rsid w:val="00A31704"/>
    <w:rsid w:val="00A33F45"/>
    <w:rsid w:val="00A368F9"/>
    <w:rsid w:val="00A37078"/>
    <w:rsid w:val="00A42C06"/>
    <w:rsid w:val="00A42ED9"/>
    <w:rsid w:val="00A43500"/>
    <w:rsid w:val="00A46851"/>
    <w:rsid w:val="00A53C43"/>
    <w:rsid w:val="00A608B0"/>
    <w:rsid w:val="00A61FA7"/>
    <w:rsid w:val="00A63F2A"/>
    <w:rsid w:val="00A7756C"/>
    <w:rsid w:val="00A9284C"/>
    <w:rsid w:val="00A93331"/>
    <w:rsid w:val="00A952C9"/>
    <w:rsid w:val="00A973C6"/>
    <w:rsid w:val="00AA2130"/>
    <w:rsid w:val="00AA68EF"/>
    <w:rsid w:val="00AB4885"/>
    <w:rsid w:val="00AB6A55"/>
    <w:rsid w:val="00AC60EA"/>
    <w:rsid w:val="00AC6118"/>
    <w:rsid w:val="00AC61DD"/>
    <w:rsid w:val="00AD1C77"/>
    <w:rsid w:val="00AD6CD4"/>
    <w:rsid w:val="00AE773D"/>
    <w:rsid w:val="00AE78EA"/>
    <w:rsid w:val="00AF23F5"/>
    <w:rsid w:val="00AF3A50"/>
    <w:rsid w:val="00AF70D8"/>
    <w:rsid w:val="00AF74D6"/>
    <w:rsid w:val="00B06288"/>
    <w:rsid w:val="00B113C0"/>
    <w:rsid w:val="00B12BAC"/>
    <w:rsid w:val="00B13BE5"/>
    <w:rsid w:val="00B14744"/>
    <w:rsid w:val="00B15016"/>
    <w:rsid w:val="00B1566A"/>
    <w:rsid w:val="00B20BEB"/>
    <w:rsid w:val="00B2755B"/>
    <w:rsid w:val="00B31DDE"/>
    <w:rsid w:val="00B35E83"/>
    <w:rsid w:val="00B50EC5"/>
    <w:rsid w:val="00B536E9"/>
    <w:rsid w:val="00B57CDD"/>
    <w:rsid w:val="00B80C5C"/>
    <w:rsid w:val="00B8347C"/>
    <w:rsid w:val="00B8647A"/>
    <w:rsid w:val="00B916E2"/>
    <w:rsid w:val="00BA0FCB"/>
    <w:rsid w:val="00BB2A15"/>
    <w:rsid w:val="00BB385D"/>
    <w:rsid w:val="00BB4AB3"/>
    <w:rsid w:val="00BC3CE7"/>
    <w:rsid w:val="00BC4A52"/>
    <w:rsid w:val="00BC56C0"/>
    <w:rsid w:val="00BC632E"/>
    <w:rsid w:val="00BC7448"/>
    <w:rsid w:val="00BD2772"/>
    <w:rsid w:val="00BE44F1"/>
    <w:rsid w:val="00BF3631"/>
    <w:rsid w:val="00BF6962"/>
    <w:rsid w:val="00C00DFE"/>
    <w:rsid w:val="00C152FB"/>
    <w:rsid w:val="00C23096"/>
    <w:rsid w:val="00C24164"/>
    <w:rsid w:val="00C332F5"/>
    <w:rsid w:val="00C34DE1"/>
    <w:rsid w:val="00C41E38"/>
    <w:rsid w:val="00C43160"/>
    <w:rsid w:val="00C44D2F"/>
    <w:rsid w:val="00C5187D"/>
    <w:rsid w:val="00C55DD1"/>
    <w:rsid w:val="00C60A9B"/>
    <w:rsid w:val="00C63C0B"/>
    <w:rsid w:val="00C651CC"/>
    <w:rsid w:val="00C65BB4"/>
    <w:rsid w:val="00C74A04"/>
    <w:rsid w:val="00C74A7D"/>
    <w:rsid w:val="00C76B76"/>
    <w:rsid w:val="00C77F87"/>
    <w:rsid w:val="00C80B55"/>
    <w:rsid w:val="00C846DA"/>
    <w:rsid w:val="00C86CB4"/>
    <w:rsid w:val="00C874EF"/>
    <w:rsid w:val="00C94A9F"/>
    <w:rsid w:val="00C96F90"/>
    <w:rsid w:val="00CA686D"/>
    <w:rsid w:val="00CB3A7C"/>
    <w:rsid w:val="00CC2503"/>
    <w:rsid w:val="00CE2E6A"/>
    <w:rsid w:val="00CE330A"/>
    <w:rsid w:val="00CF04E4"/>
    <w:rsid w:val="00CF4772"/>
    <w:rsid w:val="00D0760C"/>
    <w:rsid w:val="00D1257F"/>
    <w:rsid w:val="00D12E7B"/>
    <w:rsid w:val="00D141A5"/>
    <w:rsid w:val="00D16C32"/>
    <w:rsid w:val="00D21F5A"/>
    <w:rsid w:val="00D25856"/>
    <w:rsid w:val="00D31287"/>
    <w:rsid w:val="00D3218B"/>
    <w:rsid w:val="00D3402A"/>
    <w:rsid w:val="00D357CF"/>
    <w:rsid w:val="00D400FC"/>
    <w:rsid w:val="00D4683D"/>
    <w:rsid w:val="00D52100"/>
    <w:rsid w:val="00D547E7"/>
    <w:rsid w:val="00D6408F"/>
    <w:rsid w:val="00D65754"/>
    <w:rsid w:val="00D70DD7"/>
    <w:rsid w:val="00D72983"/>
    <w:rsid w:val="00D83097"/>
    <w:rsid w:val="00D83DC8"/>
    <w:rsid w:val="00D92408"/>
    <w:rsid w:val="00D93380"/>
    <w:rsid w:val="00DA5AAE"/>
    <w:rsid w:val="00DA7419"/>
    <w:rsid w:val="00DB147D"/>
    <w:rsid w:val="00DB2C72"/>
    <w:rsid w:val="00DB60E4"/>
    <w:rsid w:val="00DC4F55"/>
    <w:rsid w:val="00DC7E65"/>
    <w:rsid w:val="00DD1186"/>
    <w:rsid w:val="00DD15DA"/>
    <w:rsid w:val="00DD56F4"/>
    <w:rsid w:val="00DD6E19"/>
    <w:rsid w:val="00DD7643"/>
    <w:rsid w:val="00DD7C8B"/>
    <w:rsid w:val="00DE15CF"/>
    <w:rsid w:val="00DE1C0A"/>
    <w:rsid w:val="00DF4B92"/>
    <w:rsid w:val="00DF51A4"/>
    <w:rsid w:val="00E05716"/>
    <w:rsid w:val="00E06098"/>
    <w:rsid w:val="00E160CA"/>
    <w:rsid w:val="00E165E9"/>
    <w:rsid w:val="00E323F5"/>
    <w:rsid w:val="00E33625"/>
    <w:rsid w:val="00E33A34"/>
    <w:rsid w:val="00E34B86"/>
    <w:rsid w:val="00E3563B"/>
    <w:rsid w:val="00E3670B"/>
    <w:rsid w:val="00E441E3"/>
    <w:rsid w:val="00E44B95"/>
    <w:rsid w:val="00E452E8"/>
    <w:rsid w:val="00E508EB"/>
    <w:rsid w:val="00E60403"/>
    <w:rsid w:val="00E6591D"/>
    <w:rsid w:val="00E66E14"/>
    <w:rsid w:val="00E77CC2"/>
    <w:rsid w:val="00E77F68"/>
    <w:rsid w:val="00E77FE6"/>
    <w:rsid w:val="00E81A4E"/>
    <w:rsid w:val="00E82378"/>
    <w:rsid w:val="00E87E8B"/>
    <w:rsid w:val="00E91859"/>
    <w:rsid w:val="00E94DA1"/>
    <w:rsid w:val="00EA444F"/>
    <w:rsid w:val="00EA5120"/>
    <w:rsid w:val="00EA6D67"/>
    <w:rsid w:val="00EA753B"/>
    <w:rsid w:val="00EB7382"/>
    <w:rsid w:val="00EC18BC"/>
    <w:rsid w:val="00ED066E"/>
    <w:rsid w:val="00ED321F"/>
    <w:rsid w:val="00ED4321"/>
    <w:rsid w:val="00ED4620"/>
    <w:rsid w:val="00ED61EF"/>
    <w:rsid w:val="00EE4821"/>
    <w:rsid w:val="00EF0810"/>
    <w:rsid w:val="00EF29A2"/>
    <w:rsid w:val="00EF3A0D"/>
    <w:rsid w:val="00F054FC"/>
    <w:rsid w:val="00F06078"/>
    <w:rsid w:val="00F0656F"/>
    <w:rsid w:val="00F131AF"/>
    <w:rsid w:val="00F151EE"/>
    <w:rsid w:val="00F1527D"/>
    <w:rsid w:val="00F21397"/>
    <w:rsid w:val="00F227BD"/>
    <w:rsid w:val="00F273E6"/>
    <w:rsid w:val="00F30D73"/>
    <w:rsid w:val="00F43529"/>
    <w:rsid w:val="00F45DB2"/>
    <w:rsid w:val="00F569A2"/>
    <w:rsid w:val="00F60B5F"/>
    <w:rsid w:val="00F620E0"/>
    <w:rsid w:val="00F62229"/>
    <w:rsid w:val="00F660C4"/>
    <w:rsid w:val="00F67B5B"/>
    <w:rsid w:val="00F714AB"/>
    <w:rsid w:val="00F835DD"/>
    <w:rsid w:val="00F93C48"/>
    <w:rsid w:val="00F97695"/>
    <w:rsid w:val="00FA0468"/>
    <w:rsid w:val="00FA0F8C"/>
    <w:rsid w:val="00FA480A"/>
    <w:rsid w:val="00FA6D08"/>
    <w:rsid w:val="00FA6DEE"/>
    <w:rsid w:val="00FA7D76"/>
    <w:rsid w:val="00FB4B4A"/>
    <w:rsid w:val="00FC52CB"/>
    <w:rsid w:val="00FD13A9"/>
    <w:rsid w:val="00FD63A7"/>
    <w:rsid w:val="00FE7A20"/>
    <w:rsid w:val="00FF031B"/>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BC744"/>
  <w15:docId w15:val="{783DBE4C-C691-47E2-84B7-CF83A38B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C4"/>
    <w:pPr>
      <w:spacing w:after="0" w:line="280" w:lineRule="atLeast"/>
    </w:pPr>
    <w:rPr>
      <w:rFonts w:ascii="Arial" w:hAnsi="Arial"/>
      <w:sz w:val="20"/>
    </w:rPr>
  </w:style>
  <w:style w:type="paragraph" w:styleId="Heading1">
    <w:name w:val="heading 1"/>
    <w:basedOn w:val="Normal"/>
    <w:next w:val="Normal"/>
    <w:link w:val="Heading1Char"/>
    <w:uiPriority w:val="9"/>
    <w:qFormat/>
    <w:rsid w:val="000B7C2C"/>
    <w:pPr>
      <w:keepNext/>
      <w:keepLines/>
      <w:spacing w:before="320" w:line="240" w:lineRule="auto"/>
      <w:outlineLvl w:val="0"/>
    </w:pPr>
    <w:rPr>
      <w:rFonts w:asciiTheme="majorHAnsi" w:eastAsiaTheme="majorEastAsia" w:hAnsiTheme="majorHAnsi" w:cstheme="majorBidi"/>
      <w:color w:val="00707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9C1"/>
    <w:pPr>
      <w:tabs>
        <w:tab w:val="center" w:pos="4819"/>
        <w:tab w:val="right" w:pos="9638"/>
      </w:tabs>
      <w:spacing w:line="240" w:lineRule="auto"/>
    </w:pPr>
  </w:style>
  <w:style w:type="character" w:customStyle="1" w:styleId="HeaderChar">
    <w:name w:val="Header Char"/>
    <w:basedOn w:val="DefaultParagraphFont"/>
    <w:link w:val="Header"/>
    <w:uiPriority w:val="99"/>
    <w:rsid w:val="008969C1"/>
  </w:style>
  <w:style w:type="paragraph" w:styleId="Footer">
    <w:name w:val="footer"/>
    <w:basedOn w:val="Normal"/>
    <w:link w:val="FooterChar"/>
    <w:uiPriority w:val="99"/>
    <w:unhideWhenUsed/>
    <w:rsid w:val="008969C1"/>
    <w:pPr>
      <w:tabs>
        <w:tab w:val="center" w:pos="4819"/>
        <w:tab w:val="right" w:pos="9638"/>
      </w:tabs>
      <w:spacing w:line="240" w:lineRule="auto"/>
    </w:pPr>
  </w:style>
  <w:style w:type="character" w:customStyle="1" w:styleId="FooterChar">
    <w:name w:val="Footer Char"/>
    <w:basedOn w:val="DefaultParagraphFont"/>
    <w:link w:val="Footer"/>
    <w:uiPriority w:val="99"/>
    <w:rsid w:val="008969C1"/>
  </w:style>
  <w:style w:type="paragraph" w:styleId="BalloonText">
    <w:name w:val="Balloon Text"/>
    <w:basedOn w:val="Normal"/>
    <w:link w:val="BalloonTextChar"/>
    <w:uiPriority w:val="99"/>
    <w:semiHidden/>
    <w:unhideWhenUsed/>
    <w:rsid w:val="008969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9C1"/>
    <w:rPr>
      <w:rFonts w:ascii="Tahoma" w:hAnsi="Tahoma" w:cs="Tahoma"/>
      <w:sz w:val="16"/>
      <w:szCs w:val="16"/>
    </w:rPr>
  </w:style>
  <w:style w:type="table" w:styleId="TableGrid">
    <w:name w:val="Table Grid"/>
    <w:basedOn w:val="Table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4885"/>
    <w:rPr>
      <w:color w:val="0000FF" w:themeColor="hyperlink"/>
      <w:u w:val="single"/>
    </w:rPr>
  </w:style>
  <w:style w:type="character" w:customStyle="1" w:styleId="Heading1Char">
    <w:name w:val="Heading 1 Char"/>
    <w:basedOn w:val="DefaultParagraphFont"/>
    <w:link w:val="Heading1"/>
    <w:uiPriority w:val="9"/>
    <w:rsid w:val="000B7C2C"/>
    <w:rPr>
      <w:rFonts w:asciiTheme="majorHAnsi" w:eastAsiaTheme="majorEastAsia" w:hAnsiTheme="majorHAnsi" w:cstheme="majorBidi"/>
      <w:color w:val="00707D" w:themeColor="accent1" w:themeShade="BF"/>
      <w:sz w:val="32"/>
      <w:szCs w:val="32"/>
    </w:rPr>
  </w:style>
  <w:style w:type="paragraph" w:styleId="ListParagraph">
    <w:name w:val="List Paragraph"/>
    <w:basedOn w:val="Normal"/>
    <w:uiPriority w:val="34"/>
    <w:qFormat/>
    <w:rsid w:val="000B7C2C"/>
    <w:pPr>
      <w:spacing w:after="120" w:line="264" w:lineRule="auto"/>
      <w:ind w:left="720"/>
      <w:contextualSpacing/>
    </w:pPr>
    <w:rPr>
      <w:rFonts w:asciiTheme="minorHAnsi" w:eastAsiaTheme="minorEastAsia" w:hAnsiTheme="minorHAnsi"/>
      <w:szCs w:val="20"/>
    </w:rPr>
  </w:style>
  <w:style w:type="character" w:styleId="CommentReference">
    <w:name w:val="annotation reference"/>
    <w:basedOn w:val="DefaultParagraphFont"/>
    <w:uiPriority w:val="99"/>
    <w:semiHidden/>
    <w:unhideWhenUsed/>
    <w:rsid w:val="000846A2"/>
    <w:rPr>
      <w:sz w:val="16"/>
      <w:szCs w:val="16"/>
    </w:rPr>
  </w:style>
  <w:style w:type="paragraph" w:styleId="CommentText">
    <w:name w:val="annotation text"/>
    <w:basedOn w:val="Normal"/>
    <w:link w:val="CommentTextChar"/>
    <w:uiPriority w:val="99"/>
    <w:semiHidden/>
    <w:unhideWhenUsed/>
    <w:rsid w:val="000846A2"/>
    <w:pPr>
      <w:spacing w:line="240" w:lineRule="auto"/>
    </w:pPr>
    <w:rPr>
      <w:szCs w:val="20"/>
    </w:rPr>
  </w:style>
  <w:style w:type="character" w:customStyle="1" w:styleId="CommentTextChar">
    <w:name w:val="Comment Text Char"/>
    <w:basedOn w:val="DefaultParagraphFont"/>
    <w:link w:val="CommentText"/>
    <w:uiPriority w:val="99"/>
    <w:semiHidden/>
    <w:rsid w:val="000846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46A2"/>
    <w:rPr>
      <w:b/>
      <w:bCs/>
    </w:rPr>
  </w:style>
  <w:style w:type="character" w:customStyle="1" w:styleId="CommentSubjectChar">
    <w:name w:val="Comment Subject Char"/>
    <w:basedOn w:val="CommentTextChar"/>
    <w:link w:val="CommentSubject"/>
    <w:uiPriority w:val="99"/>
    <w:semiHidden/>
    <w:rsid w:val="000846A2"/>
    <w:rPr>
      <w:rFonts w:ascii="Arial" w:hAnsi="Arial"/>
      <w:b/>
      <w:bCs/>
      <w:sz w:val="20"/>
      <w:szCs w:val="20"/>
    </w:rPr>
  </w:style>
  <w:style w:type="paragraph" w:styleId="Revision">
    <w:name w:val="Revision"/>
    <w:hidden/>
    <w:uiPriority w:val="99"/>
    <w:semiHidden/>
    <w:rsid w:val="00305579"/>
    <w:pPr>
      <w:spacing w:after="0" w:line="240" w:lineRule="auto"/>
    </w:pPr>
    <w:rPr>
      <w:rFonts w:ascii="Arial" w:hAnsi="Arial"/>
      <w:sz w:val="20"/>
    </w:rPr>
  </w:style>
  <w:style w:type="paragraph" w:styleId="FootnoteText">
    <w:name w:val="footnote text"/>
    <w:basedOn w:val="Normal"/>
    <w:link w:val="FootnoteTextChar"/>
    <w:uiPriority w:val="99"/>
    <w:semiHidden/>
    <w:unhideWhenUsed/>
    <w:rsid w:val="00305579"/>
    <w:pPr>
      <w:spacing w:line="240" w:lineRule="auto"/>
    </w:pPr>
    <w:rPr>
      <w:szCs w:val="20"/>
    </w:rPr>
  </w:style>
  <w:style w:type="character" w:customStyle="1" w:styleId="FootnoteTextChar">
    <w:name w:val="Footnote Text Char"/>
    <w:basedOn w:val="DefaultParagraphFont"/>
    <w:link w:val="FootnoteText"/>
    <w:uiPriority w:val="99"/>
    <w:semiHidden/>
    <w:rsid w:val="00305579"/>
    <w:rPr>
      <w:rFonts w:ascii="Arial" w:hAnsi="Arial"/>
      <w:sz w:val="20"/>
      <w:szCs w:val="20"/>
    </w:rPr>
  </w:style>
  <w:style w:type="character" w:styleId="FootnoteReference">
    <w:name w:val="footnote reference"/>
    <w:basedOn w:val="DefaultParagraphFont"/>
    <w:uiPriority w:val="99"/>
    <w:semiHidden/>
    <w:unhideWhenUsed/>
    <w:rsid w:val="00305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5274">
      <w:bodyDiv w:val="1"/>
      <w:marLeft w:val="0"/>
      <w:marRight w:val="0"/>
      <w:marTop w:val="0"/>
      <w:marBottom w:val="0"/>
      <w:divBdr>
        <w:top w:val="none" w:sz="0" w:space="0" w:color="auto"/>
        <w:left w:val="none" w:sz="0" w:space="0" w:color="auto"/>
        <w:bottom w:val="none" w:sz="0" w:space="0" w:color="auto"/>
        <w:right w:val="none" w:sz="0" w:space="0" w:color="auto"/>
      </w:divBdr>
    </w:div>
    <w:div w:id="811017569">
      <w:bodyDiv w:val="1"/>
      <w:marLeft w:val="0"/>
      <w:marRight w:val="0"/>
      <w:marTop w:val="0"/>
      <w:marBottom w:val="0"/>
      <w:divBdr>
        <w:top w:val="none" w:sz="0" w:space="0" w:color="auto"/>
        <w:left w:val="none" w:sz="0" w:space="0" w:color="auto"/>
        <w:bottom w:val="none" w:sz="0" w:space="0" w:color="auto"/>
        <w:right w:val="none" w:sz="0" w:space="0" w:color="auto"/>
      </w:divBdr>
    </w:div>
    <w:div w:id="912396803">
      <w:bodyDiv w:val="1"/>
      <w:marLeft w:val="0"/>
      <w:marRight w:val="0"/>
      <w:marTop w:val="0"/>
      <w:marBottom w:val="0"/>
      <w:divBdr>
        <w:top w:val="none" w:sz="0" w:space="0" w:color="auto"/>
        <w:left w:val="none" w:sz="0" w:space="0" w:color="auto"/>
        <w:bottom w:val="none" w:sz="0" w:space="0" w:color="auto"/>
        <w:right w:val="none" w:sz="0" w:space="0" w:color="auto"/>
      </w:divBdr>
    </w:div>
    <w:div w:id="19776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ur03.safelinks.protection.outlook.com/?url=https%3A%2F%2Fbuild.dk%2FPages%2FVarmebesparelse-i-eksisterende-bygninger.aspx&amp;data=04%7C01%7Csrt%40bl.dk%7Cb883a166a833444ccfef08d9829cb2be%7Ccd19a5fcf3a64c9aba9dd766d809fd5b%7C0%7C0%7C637684431799181028%7CUnknown%7CTWFpbGZsb3d8eyJWIjoiMC4wLjAwMDAiLCJQIjoiV2luMzIiLCJBTiI6Ik1haWwiLCJXVCI6Mn0%3D%7C1000&amp;sdata=kkPB6j2iqIDlxmY94ncAXBKqcYoGBxk86op6iZLOeRc%3D&amp;reserved=0" TargetMode="External"/><Relationship Id="rId1" Type="http://schemas.openxmlformats.org/officeDocument/2006/relationships/hyperlink" Target="https://synergiorg.dk/media/1402/analyse-af-betydningen-af-mere-ambitioese-eu-klimamaal-frem-mod-2030-for-dansk-eksport-af-energiteknologier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57929\AppData\Local\cBrain\F2\.tmp\4fec581a2f534e85b2393b97aacd53c2.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66B5B1B9DD8948BB632DF38A0DCD68" ma:contentTypeVersion="11" ma:contentTypeDescription="Opret et nyt dokument." ma:contentTypeScope="" ma:versionID="83764fe95f8c77daf2f91b97dc068be8">
  <xsd:schema xmlns:xsd="http://www.w3.org/2001/XMLSchema" xmlns:xs="http://www.w3.org/2001/XMLSchema" xmlns:p="http://schemas.microsoft.com/office/2006/metadata/properties" xmlns:ns2="0b7be65d-3084-4f59-9ad4-d65fcccb035c" xmlns:ns3="4af65b54-2a46-464c-a2fa-757bc4aefc0e" targetNamespace="http://schemas.microsoft.com/office/2006/metadata/properties" ma:root="true" ma:fieldsID="07120de3e80bd63b45cd9ab951e1db6e" ns2:_="" ns3:_="">
    <xsd:import namespace="0b7be65d-3084-4f59-9ad4-d65fcccb035c"/>
    <xsd:import namespace="4af65b54-2a46-464c-a2fa-757bc4aefc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be65d-3084-4f59-9ad4-d65fcccb0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f65b54-2a46-464c-a2fa-757bc4aefc0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CCC90-6320-4D64-8541-0E5FB6A91762}">
  <ds:schemaRefs>
    <ds:schemaRef ds:uri="http://schemas.microsoft.com/sharepoint/v3/contenttype/forms"/>
  </ds:schemaRefs>
</ds:datastoreItem>
</file>

<file path=customXml/itemProps2.xml><?xml version="1.0" encoding="utf-8"?>
<ds:datastoreItem xmlns:ds="http://schemas.openxmlformats.org/officeDocument/2006/customXml" ds:itemID="{312CEC4C-8CC2-4ED8-8A28-A0AA568B5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be65d-3084-4f59-9ad4-d65fcccb035c"/>
    <ds:schemaRef ds:uri="4af65b54-2a46-464c-a2fa-757bc4aef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2390F-00AC-42DB-AE43-58E88E0A94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A79591-0B5C-4795-BCBB-794C99C7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4fec581a2f534e85b2393b97aacd53c2</Template>
  <TotalTime>0</TotalTime>
  <Pages>1</Pages>
  <Words>3021</Words>
  <Characters>17226</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www.RiisDATA.com v/Michael Riis Sørensen</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Sune Flemming Jørgensen</dc:creator>
  <cp:lastModifiedBy>Christina Bruun Andersen</cp:lastModifiedBy>
  <cp:revision>3</cp:revision>
  <cp:lastPrinted>2021-09-29T12:11:00Z</cp:lastPrinted>
  <dcterms:created xsi:type="dcterms:W3CDTF">2021-09-29T12:09:00Z</dcterms:created>
  <dcterms:modified xsi:type="dcterms:W3CDTF">2021-09-29T12:10:00Z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0x0101007466B5B1B9DD8948BB632DF38A0DCD68</vt:lpwstr>
  </property>
</Properties>
</file>