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075A" w14:textId="1F0BB21E" w:rsidR="00B44ECC" w:rsidRDefault="00B44ECC"/>
    <w:p w14:paraId="1EBCDD80" w14:textId="54C24376" w:rsidR="00C73711" w:rsidRDefault="00C73711"/>
    <w:tbl>
      <w:tblPr>
        <w:tblStyle w:val="Tabel-Gitter"/>
        <w:tblW w:w="0" w:type="auto"/>
        <w:tblLook w:val="04A0" w:firstRow="1" w:lastRow="0" w:firstColumn="1" w:lastColumn="0" w:noHBand="0" w:noVBand="1"/>
      </w:tblPr>
      <w:tblGrid>
        <w:gridCol w:w="15388"/>
      </w:tblGrid>
      <w:tr w:rsidR="00C73711" w14:paraId="77F88F4F" w14:textId="77777777" w:rsidTr="00C73711">
        <w:tc>
          <w:tcPr>
            <w:tcW w:w="15388" w:type="dxa"/>
            <w:shd w:val="clear" w:color="auto" w:fill="808080" w:themeFill="background1" w:themeFillShade="80"/>
          </w:tcPr>
          <w:p w14:paraId="3FB4038A" w14:textId="5A1C9141" w:rsidR="00C73711" w:rsidRPr="00C73711" w:rsidRDefault="00C73711" w:rsidP="00C73711">
            <w:pPr>
              <w:spacing w:after="240"/>
              <w:rPr>
                <w:rFonts w:ascii="Georgia" w:hAnsi="Georgia"/>
                <w:b/>
                <w:bCs/>
                <w:sz w:val="20"/>
                <w:szCs w:val="20"/>
              </w:rPr>
            </w:pPr>
            <w:r w:rsidRPr="00C73711">
              <w:rPr>
                <w:rFonts w:ascii="Georgia" w:hAnsi="Georgia"/>
                <w:b/>
                <w:bCs/>
                <w:sz w:val="20"/>
                <w:szCs w:val="20"/>
              </w:rPr>
              <w:t xml:space="preserve">Generelle bemærkninger: </w:t>
            </w:r>
            <w:r>
              <w:rPr>
                <w:rFonts w:ascii="Georgia" w:hAnsi="Georgia"/>
                <w:b/>
                <w:bCs/>
                <w:sz w:val="20"/>
                <w:szCs w:val="20"/>
              </w:rPr>
              <w:br/>
            </w:r>
            <w:r w:rsidRPr="00C73711">
              <w:rPr>
                <w:rFonts w:ascii="Georgia" w:hAnsi="Georgia"/>
                <w:sz w:val="20"/>
                <w:szCs w:val="20"/>
              </w:rPr>
              <w:t>Her angive</w:t>
            </w:r>
            <w:r>
              <w:rPr>
                <w:rFonts w:ascii="Georgia" w:hAnsi="Georgia"/>
                <w:sz w:val="20"/>
                <w:szCs w:val="20"/>
              </w:rPr>
              <w:t>s</w:t>
            </w:r>
            <w:r w:rsidRPr="00C73711">
              <w:rPr>
                <w:rFonts w:ascii="Georgia" w:hAnsi="Georgia"/>
                <w:sz w:val="20"/>
                <w:szCs w:val="20"/>
              </w:rPr>
              <w:t xml:space="preserve"> generelle/overordnede kommentarer til høringen. </w:t>
            </w:r>
          </w:p>
        </w:tc>
      </w:tr>
      <w:tr w:rsidR="00C73711" w14:paraId="06B1C04F" w14:textId="77777777" w:rsidTr="00C73711">
        <w:tc>
          <w:tcPr>
            <w:tcW w:w="15388" w:type="dxa"/>
          </w:tcPr>
          <w:p w14:paraId="254CB987" w14:textId="0EA0C619" w:rsidR="00C73711" w:rsidRDefault="00C73711"/>
          <w:p w14:paraId="48DC576B" w14:textId="48126F66" w:rsidR="00C73711" w:rsidRDefault="00C73711"/>
          <w:p w14:paraId="0648797E" w14:textId="25699DA8" w:rsidR="00C73711" w:rsidRDefault="00C73711"/>
          <w:p w14:paraId="5FD2096D" w14:textId="77777777" w:rsidR="00C73711" w:rsidRDefault="00C73711"/>
          <w:p w14:paraId="5187BC99" w14:textId="77777777" w:rsidR="00C73711" w:rsidRDefault="00C73711"/>
          <w:p w14:paraId="159EC329" w14:textId="0B76397A" w:rsidR="00C73711" w:rsidRDefault="00C73711"/>
        </w:tc>
      </w:tr>
    </w:tbl>
    <w:p w14:paraId="7E5D6498" w14:textId="6633ABFD" w:rsidR="0036588E" w:rsidRDefault="0036588E"/>
    <w:p w14:paraId="4E34135E" w14:textId="02C0B2DA" w:rsidR="00C73711" w:rsidRDefault="008B6529" w:rsidP="008B6529">
      <w:pPr>
        <w:rPr>
          <w:rFonts w:ascii="Georgia" w:hAnsi="Georgia"/>
          <w:i/>
          <w:iCs/>
          <w:sz w:val="20"/>
          <w:szCs w:val="20"/>
        </w:rPr>
      </w:pPr>
      <w:r w:rsidRPr="008B6529">
        <w:rPr>
          <w:rFonts w:ascii="Georgia" w:hAnsi="Georgia"/>
          <w:i/>
          <w:iCs/>
          <w:sz w:val="20"/>
          <w:szCs w:val="20"/>
        </w:rPr>
        <w:t>I nedenfor skema indsættes de</w:t>
      </w:r>
      <w:r w:rsidRPr="008B6529">
        <w:rPr>
          <w:rFonts w:ascii="Georgia" w:hAnsi="Georgia"/>
          <w:i/>
          <w:iCs/>
          <w:sz w:val="20"/>
          <w:szCs w:val="20"/>
        </w:rPr>
        <w:t xml:space="preserve"> konkrete kommentarer til afsnit i høringsudgaven</w:t>
      </w:r>
      <w:r w:rsidRPr="008B6529">
        <w:rPr>
          <w:rFonts w:ascii="Georgia" w:hAnsi="Georgia"/>
          <w:i/>
          <w:iCs/>
          <w:sz w:val="20"/>
          <w:szCs w:val="20"/>
        </w:rPr>
        <w:t xml:space="preserve"> og gerne en konkret forslag til </w:t>
      </w:r>
      <w:r w:rsidRPr="008B6529">
        <w:rPr>
          <w:rFonts w:ascii="Georgia" w:hAnsi="Georgia"/>
          <w:i/>
          <w:iCs/>
          <w:sz w:val="20"/>
          <w:szCs w:val="20"/>
        </w:rPr>
        <w:t xml:space="preserve">tekst, som efter </w:t>
      </w:r>
      <w:r w:rsidRPr="008B6529">
        <w:rPr>
          <w:rFonts w:ascii="Georgia" w:hAnsi="Georgia"/>
          <w:i/>
          <w:iCs/>
          <w:sz w:val="20"/>
          <w:szCs w:val="20"/>
        </w:rPr>
        <w:t xml:space="preserve">FRI’s </w:t>
      </w:r>
      <w:r w:rsidRPr="008B6529">
        <w:rPr>
          <w:rFonts w:ascii="Georgia" w:hAnsi="Georgia"/>
          <w:i/>
          <w:iCs/>
          <w:sz w:val="20"/>
          <w:szCs w:val="20"/>
        </w:rPr>
        <w:t>opfattelse bør erstatte/ supplere/ uddybe teksten i høringsudgaven.</w:t>
      </w:r>
    </w:p>
    <w:p w14:paraId="3599F770" w14:textId="77777777" w:rsidR="008B6529" w:rsidRPr="008B6529" w:rsidRDefault="008B6529" w:rsidP="008B6529">
      <w:pPr>
        <w:rPr>
          <w:rFonts w:ascii="Georgia" w:hAnsi="Georgia"/>
          <w:i/>
          <w:iCs/>
          <w:sz w:val="20"/>
          <w:szCs w:val="20"/>
        </w:rPr>
      </w:pPr>
    </w:p>
    <w:tbl>
      <w:tblPr>
        <w:tblStyle w:val="Tabel-Gitter"/>
        <w:tblW w:w="15446" w:type="dxa"/>
        <w:tblLayout w:type="fixed"/>
        <w:tblLook w:val="06A0" w:firstRow="1" w:lastRow="0" w:firstColumn="1" w:lastColumn="0" w:noHBand="1" w:noVBand="1"/>
      </w:tblPr>
      <w:tblGrid>
        <w:gridCol w:w="562"/>
        <w:gridCol w:w="3544"/>
        <w:gridCol w:w="4536"/>
        <w:gridCol w:w="3815"/>
        <w:gridCol w:w="2989"/>
      </w:tblGrid>
      <w:tr w:rsidR="0036588E" w:rsidRPr="00E93010" w14:paraId="2566E7D4" w14:textId="77777777" w:rsidTr="00324A26">
        <w:trPr>
          <w:tblHeader/>
        </w:trPr>
        <w:tc>
          <w:tcPr>
            <w:tcW w:w="562" w:type="dxa"/>
            <w:shd w:val="clear" w:color="auto" w:fill="808080" w:themeFill="background1" w:themeFillShade="80"/>
          </w:tcPr>
          <w:p w14:paraId="1A4D1BF9" w14:textId="77777777" w:rsidR="0036588E" w:rsidRDefault="0036588E" w:rsidP="00324A26">
            <w:pPr>
              <w:rPr>
                <w:rFonts w:ascii="Georgia" w:hAnsi="Georgia"/>
                <w:sz w:val="16"/>
                <w:szCs w:val="16"/>
              </w:rPr>
            </w:pPr>
          </w:p>
          <w:p w14:paraId="1B36DDBA" w14:textId="77777777" w:rsidR="0036588E" w:rsidRDefault="0036588E" w:rsidP="00324A26">
            <w:pPr>
              <w:rPr>
                <w:rFonts w:ascii="Georgia" w:hAnsi="Georgia"/>
                <w:sz w:val="16"/>
                <w:szCs w:val="16"/>
              </w:rPr>
            </w:pPr>
          </w:p>
          <w:p w14:paraId="22E4D9E0" w14:textId="77777777" w:rsidR="0036588E" w:rsidRPr="00E93010" w:rsidRDefault="0036588E" w:rsidP="00324A26">
            <w:pPr>
              <w:rPr>
                <w:rFonts w:ascii="Georgia" w:hAnsi="Georgia"/>
                <w:sz w:val="16"/>
                <w:szCs w:val="16"/>
              </w:rPr>
            </w:pPr>
          </w:p>
        </w:tc>
        <w:tc>
          <w:tcPr>
            <w:tcW w:w="3544" w:type="dxa"/>
            <w:shd w:val="clear" w:color="auto" w:fill="808080" w:themeFill="background1" w:themeFillShade="80"/>
          </w:tcPr>
          <w:p w14:paraId="40872DC8" w14:textId="77777777" w:rsidR="0036588E" w:rsidRPr="00C73711" w:rsidRDefault="0036588E" w:rsidP="00324A26">
            <w:pPr>
              <w:rPr>
                <w:rFonts w:ascii="Georgia" w:hAnsi="Georgia"/>
                <w:b/>
                <w:bCs/>
                <w:sz w:val="20"/>
                <w:szCs w:val="20"/>
              </w:rPr>
            </w:pPr>
            <w:r w:rsidRPr="00115EAF">
              <w:rPr>
                <w:rFonts w:ascii="Georgia" w:hAnsi="Georgia"/>
                <w:b/>
                <w:bCs/>
                <w:sz w:val="20"/>
                <w:szCs w:val="20"/>
              </w:rPr>
              <w:t>Bekendtgørelsestekst</w:t>
            </w:r>
          </w:p>
        </w:tc>
        <w:tc>
          <w:tcPr>
            <w:tcW w:w="4536" w:type="dxa"/>
            <w:shd w:val="clear" w:color="auto" w:fill="808080" w:themeFill="background1" w:themeFillShade="80"/>
          </w:tcPr>
          <w:p w14:paraId="1CF42F78" w14:textId="77777777" w:rsidR="0036588E" w:rsidRPr="00C73711" w:rsidRDefault="0036588E" w:rsidP="00324A26">
            <w:pPr>
              <w:rPr>
                <w:rFonts w:ascii="Georgia" w:hAnsi="Georgia"/>
                <w:b/>
                <w:bCs/>
                <w:sz w:val="20"/>
                <w:szCs w:val="20"/>
              </w:rPr>
            </w:pPr>
            <w:r w:rsidRPr="00115EAF">
              <w:rPr>
                <w:rFonts w:ascii="Georgia" w:hAnsi="Georgia"/>
                <w:b/>
                <w:bCs/>
                <w:sz w:val="20"/>
                <w:szCs w:val="20"/>
              </w:rPr>
              <w:t xml:space="preserve">Bolig- og Planstyrelsens begrundelser for ændring af tekst i </w:t>
            </w:r>
            <w:proofErr w:type="spellStart"/>
            <w:r w:rsidRPr="00115EAF">
              <w:rPr>
                <w:rFonts w:ascii="Georgia" w:hAnsi="Georgia"/>
                <w:b/>
                <w:bCs/>
                <w:sz w:val="20"/>
                <w:szCs w:val="20"/>
              </w:rPr>
              <w:t>BR18</w:t>
            </w:r>
            <w:proofErr w:type="spellEnd"/>
          </w:p>
        </w:tc>
        <w:tc>
          <w:tcPr>
            <w:tcW w:w="3815" w:type="dxa"/>
            <w:shd w:val="clear" w:color="auto" w:fill="808080" w:themeFill="background1" w:themeFillShade="80"/>
          </w:tcPr>
          <w:p w14:paraId="5ECDD1F4" w14:textId="77777777" w:rsidR="0036588E" w:rsidRPr="00C73711" w:rsidRDefault="0036588E" w:rsidP="00324A26">
            <w:pPr>
              <w:rPr>
                <w:rFonts w:ascii="Georgia" w:hAnsi="Georgia"/>
                <w:b/>
                <w:bCs/>
                <w:sz w:val="20"/>
                <w:szCs w:val="20"/>
              </w:rPr>
            </w:pPr>
            <w:r w:rsidRPr="00115EAF">
              <w:rPr>
                <w:rFonts w:ascii="Georgia" w:hAnsi="Georgia"/>
                <w:b/>
                <w:bCs/>
                <w:sz w:val="20"/>
                <w:szCs w:val="20"/>
              </w:rPr>
              <w:t>Kommentar</w:t>
            </w:r>
            <w:r w:rsidRPr="00C73711">
              <w:rPr>
                <w:rFonts w:ascii="Georgia" w:hAnsi="Georgia"/>
                <w:b/>
                <w:bCs/>
                <w:sz w:val="20"/>
                <w:szCs w:val="20"/>
              </w:rPr>
              <w:t>er fra FRI</w:t>
            </w:r>
          </w:p>
        </w:tc>
        <w:tc>
          <w:tcPr>
            <w:tcW w:w="2989" w:type="dxa"/>
            <w:shd w:val="clear" w:color="auto" w:fill="808080" w:themeFill="background1" w:themeFillShade="80"/>
          </w:tcPr>
          <w:p w14:paraId="18FC62CC" w14:textId="77777777" w:rsidR="0036588E" w:rsidRPr="00C73711" w:rsidRDefault="0036588E" w:rsidP="00324A26">
            <w:pPr>
              <w:rPr>
                <w:rFonts w:ascii="Georgia" w:hAnsi="Georgia"/>
                <w:b/>
                <w:bCs/>
                <w:sz w:val="20"/>
                <w:szCs w:val="20"/>
              </w:rPr>
            </w:pPr>
            <w:r w:rsidRPr="00C73711">
              <w:rPr>
                <w:rFonts w:ascii="Georgia" w:hAnsi="Georgia"/>
                <w:b/>
                <w:bCs/>
                <w:sz w:val="20"/>
                <w:szCs w:val="20"/>
              </w:rPr>
              <w:t xml:space="preserve">Direkte </w:t>
            </w:r>
            <w:r w:rsidRPr="00115EAF">
              <w:rPr>
                <w:rFonts w:ascii="Georgia" w:hAnsi="Georgia"/>
                <w:b/>
                <w:bCs/>
                <w:sz w:val="20"/>
                <w:szCs w:val="20"/>
              </w:rPr>
              <w:t xml:space="preserve">forslag til </w:t>
            </w:r>
            <w:r w:rsidRPr="00C73711">
              <w:rPr>
                <w:rFonts w:ascii="Georgia" w:hAnsi="Georgia"/>
                <w:b/>
                <w:bCs/>
                <w:sz w:val="20"/>
                <w:szCs w:val="20"/>
              </w:rPr>
              <w:t xml:space="preserve">ændret tekst i </w:t>
            </w:r>
            <w:r w:rsidRPr="00115EAF">
              <w:rPr>
                <w:rFonts w:ascii="Georgia" w:hAnsi="Georgia"/>
                <w:b/>
                <w:bCs/>
                <w:sz w:val="20"/>
                <w:szCs w:val="20"/>
              </w:rPr>
              <w:t>bestemmelse</w:t>
            </w:r>
          </w:p>
        </w:tc>
      </w:tr>
      <w:tr w:rsidR="0036588E" w:rsidRPr="00E93010" w14:paraId="42BCF39F" w14:textId="77777777" w:rsidTr="00324A26">
        <w:tc>
          <w:tcPr>
            <w:tcW w:w="562" w:type="dxa"/>
            <w:shd w:val="clear" w:color="auto" w:fill="E7E6E6" w:themeFill="background2"/>
          </w:tcPr>
          <w:p w14:paraId="77D880EF"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47D7579F" w14:textId="77777777" w:rsidR="0036588E" w:rsidRDefault="0036588E" w:rsidP="00324A26">
            <w:pPr>
              <w:rPr>
                <w:rFonts w:ascii="Georgia" w:hAnsi="Georgia"/>
                <w:sz w:val="16"/>
                <w:szCs w:val="16"/>
              </w:rPr>
            </w:pPr>
            <w:r w:rsidRPr="00E93010">
              <w:rPr>
                <w:rFonts w:ascii="Georgia" w:hAnsi="Georgia"/>
                <w:sz w:val="16"/>
                <w:szCs w:val="16"/>
              </w:rPr>
              <w:t>Bekendtgørelse om ændring af bekendtgørelse om bygningsreglement 2018</w:t>
            </w:r>
          </w:p>
          <w:p w14:paraId="2B493FE9"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34259C9F" w14:textId="77777777" w:rsidR="0036588E" w:rsidRPr="00E93010" w:rsidRDefault="0036588E" w:rsidP="00324A26">
            <w:pPr>
              <w:rPr>
                <w:rFonts w:ascii="Georgia" w:hAnsi="Georgia"/>
                <w:sz w:val="16"/>
                <w:szCs w:val="16"/>
              </w:rPr>
            </w:pPr>
          </w:p>
        </w:tc>
        <w:tc>
          <w:tcPr>
            <w:tcW w:w="3815" w:type="dxa"/>
          </w:tcPr>
          <w:p w14:paraId="21F64479" w14:textId="77777777" w:rsidR="0036588E" w:rsidRPr="00E93010" w:rsidRDefault="0036588E" w:rsidP="00324A26">
            <w:pPr>
              <w:rPr>
                <w:rFonts w:ascii="Georgia" w:hAnsi="Georgia"/>
                <w:sz w:val="16"/>
                <w:szCs w:val="16"/>
              </w:rPr>
            </w:pPr>
          </w:p>
        </w:tc>
        <w:tc>
          <w:tcPr>
            <w:tcW w:w="2989" w:type="dxa"/>
          </w:tcPr>
          <w:p w14:paraId="7FAD9F15" w14:textId="77777777" w:rsidR="0036588E" w:rsidRPr="00E93010" w:rsidRDefault="0036588E" w:rsidP="00324A26">
            <w:pPr>
              <w:rPr>
                <w:rFonts w:ascii="Georgia" w:hAnsi="Georgia"/>
                <w:sz w:val="16"/>
                <w:szCs w:val="16"/>
              </w:rPr>
            </w:pPr>
          </w:p>
        </w:tc>
      </w:tr>
      <w:tr w:rsidR="0036588E" w:rsidRPr="00E93010" w14:paraId="5AAF071C" w14:textId="77777777" w:rsidTr="00324A26">
        <w:tc>
          <w:tcPr>
            <w:tcW w:w="562" w:type="dxa"/>
            <w:shd w:val="clear" w:color="auto" w:fill="E7E6E6" w:themeFill="background2"/>
          </w:tcPr>
          <w:p w14:paraId="65DAF280"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1B960D3E" w14:textId="77777777" w:rsidR="0036588E" w:rsidRDefault="0036588E" w:rsidP="00324A26">
            <w:pPr>
              <w:rPr>
                <w:rFonts w:ascii="Georgia" w:hAnsi="Georgia"/>
                <w:sz w:val="16"/>
                <w:szCs w:val="16"/>
              </w:rPr>
            </w:pPr>
            <w:r w:rsidRPr="00E93010">
              <w:rPr>
                <w:rFonts w:ascii="Georgia" w:hAnsi="Georgia"/>
                <w:sz w:val="16"/>
                <w:szCs w:val="16"/>
              </w:rPr>
              <w:t>I bekendtgørelse nr. 1399 af 12. december 2019 om bygningsreglement 2018 (</w:t>
            </w:r>
            <w:proofErr w:type="spellStart"/>
            <w:r w:rsidRPr="00E93010">
              <w:rPr>
                <w:rFonts w:ascii="Georgia" w:hAnsi="Georgia"/>
                <w:sz w:val="16"/>
                <w:szCs w:val="16"/>
              </w:rPr>
              <w:t>BR18</w:t>
            </w:r>
            <w:proofErr w:type="spellEnd"/>
            <w:r w:rsidRPr="00E93010">
              <w:rPr>
                <w:rFonts w:ascii="Georgia" w:hAnsi="Georgia"/>
                <w:sz w:val="16"/>
                <w:szCs w:val="16"/>
              </w:rPr>
              <w:t>), som ændret ved bekendtgørelse nr. 182 af 5. marts 2020</w:t>
            </w:r>
            <w:r>
              <w:rPr>
                <w:rFonts w:ascii="Georgia" w:hAnsi="Georgia"/>
                <w:sz w:val="16"/>
                <w:szCs w:val="16"/>
              </w:rPr>
              <w:t>.</w:t>
            </w:r>
          </w:p>
          <w:p w14:paraId="6686B6D9"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59218CEE" w14:textId="77777777" w:rsidR="0036588E" w:rsidRPr="00E93010" w:rsidRDefault="0036588E" w:rsidP="00324A26">
            <w:pPr>
              <w:rPr>
                <w:rFonts w:ascii="Georgia" w:hAnsi="Georgia"/>
                <w:sz w:val="16"/>
                <w:szCs w:val="16"/>
              </w:rPr>
            </w:pPr>
          </w:p>
        </w:tc>
        <w:tc>
          <w:tcPr>
            <w:tcW w:w="3815" w:type="dxa"/>
          </w:tcPr>
          <w:p w14:paraId="77286817" w14:textId="77777777" w:rsidR="0036588E" w:rsidRPr="00E93010" w:rsidRDefault="0036588E" w:rsidP="00324A26">
            <w:pPr>
              <w:rPr>
                <w:rFonts w:ascii="Georgia" w:hAnsi="Georgia"/>
                <w:sz w:val="16"/>
                <w:szCs w:val="16"/>
              </w:rPr>
            </w:pPr>
          </w:p>
        </w:tc>
        <w:tc>
          <w:tcPr>
            <w:tcW w:w="2989" w:type="dxa"/>
          </w:tcPr>
          <w:p w14:paraId="642E2E31" w14:textId="77777777" w:rsidR="0036588E" w:rsidRPr="00E93010" w:rsidRDefault="0036588E" w:rsidP="00324A26">
            <w:pPr>
              <w:rPr>
                <w:rFonts w:ascii="Georgia" w:hAnsi="Georgia"/>
                <w:sz w:val="16"/>
                <w:szCs w:val="16"/>
              </w:rPr>
            </w:pPr>
          </w:p>
        </w:tc>
      </w:tr>
      <w:tr w:rsidR="0036588E" w:rsidRPr="00E93010" w14:paraId="65E9D5A7" w14:textId="77777777" w:rsidTr="00324A26">
        <w:tc>
          <w:tcPr>
            <w:tcW w:w="562" w:type="dxa"/>
            <w:shd w:val="clear" w:color="auto" w:fill="E7E6E6" w:themeFill="background2"/>
          </w:tcPr>
          <w:p w14:paraId="07B099F0"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1D0E3AB8" w14:textId="77777777" w:rsidR="0036588E" w:rsidRDefault="0036588E" w:rsidP="00324A26">
            <w:pPr>
              <w:jc w:val="center"/>
              <w:rPr>
                <w:rFonts w:ascii="Georgia" w:hAnsi="Georgia"/>
                <w:b/>
                <w:sz w:val="16"/>
                <w:szCs w:val="16"/>
              </w:rPr>
            </w:pPr>
          </w:p>
          <w:p w14:paraId="45EF76F7" w14:textId="77777777" w:rsidR="0036588E" w:rsidRDefault="0036588E" w:rsidP="00324A26">
            <w:pPr>
              <w:jc w:val="center"/>
              <w:rPr>
                <w:rFonts w:ascii="Georgia" w:hAnsi="Georgia"/>
                <w:b/>
                <w:sz w:val="16"/>
                <w:szCs w:val="16"/>
              </w:rPr>
            </w:pPr>
            <w:r w:rsidRPr="00E93010">
              <w:rPr>
                <w:rFonts w:ascii="Georgia" w:hAnsi="Georgia"/>
                <w:b/>
                <w:sz w:val="16"/>
                <w:szCs w:val="16"/>
              </w:rPr>
              <w:t>§ 1</w:t>
            </w:r>
          </w:p>
          <w:p w14:paraId="0EB3BE92" w14:textId="77777777" w:rsidR="0036588E" w:rsidRPr="00E93010" w:rsidRDefault="0036588E" w:rsidP="00324A26">
            <w:pPr>
              <w:jc w:val="center"/>
              <w:rPr>
                <w:rFonts w:ascii="Georgia" w:hAnsi="Georgia"/>
                <w:sz w:val="16"/>
                <w:szCs w:val="16"/>
              </w:rPr>
            </w:pPr>
          </w:p>
        </w:tc>
        <w:tc>
          <w:tcPr>
            <w:tcW w:w="4536" w:type="dxa"/>
            <w:shd w:val="clear" w:color="auto" w:fill="E7E6E6" w:themeFill="background2"/>
          </w:tcPr>
          <w:p w14:paraId="20A29C8A" w14:textId="77777777" w:rsidR="0036588E" w:rsidRPr="00E93010" w:rsidRDefault="0036588E" w:rsidP="00324A26">
            <w:pPr>
              <w:rPr>
                <w:rFonts w:ascii="Georgia" w:hAnsi="Georgia"/>
                <w:sz w:val="16"/>
                <w:szCs w:val="16"/>
              </w:rPr>
            </w:pPr>
          </w:p>
        </w:tc>
        <w:tc>
          <w:tcPr>
            <w:tcW w:w="3815" w:type="dxa"/>
          </w:tcPr>
          <w:p w14:paraId="195C2823" w14:textId="77777777" w:rsidR="0036588E" w:rsidRPr="00E93010" w:rsidRDefault="0036588E" w:rsidP="00324A26">
            <w:pPr>
              <w:rPr>
                <w:rFonts w:ascii="Georgia" w:hAnsi="Georgia"/>
                <w:sz w:val="16"/>
                <w:szCs w:val="16"/>
              </w:rPr>
            </w:pPr>
          </w:p>
        </w:tc>
        <w:tc>
          <w:tcPr>
            <w:tcW w:w="2989" w:type="dxa"/>
          </w:tcPr>
          <w:p w14:paraId="7F7C7D8F" w14:textId="77777777" w:rsidR="0036588E" w:rsidRPr="00E93010" w:rsidRDefault="0036588E" w:rsidP="00324A26">
            <w:pPr>
              <w:rPr>
                <w:rFonts w:ascii="Georgia" w:hAnsi="Georgia"/>
                <w:sz w:val="16"/>
                <w:szCs w:val="16"/>
              </w:rPr>
            </w:pPr>
          </w:p>
        </w:tc>
      </w:tr>
      <w:tr w:rsidR="0036588E" w:rsidRPr="00E93010" w14:paraId="4FDF1A72" w14:textId="77777777" w:rsidTr="00324A26">
        <w:tc>
          <w:tcPr>
            <w:tcW w:w="562" w:type="dxa"/>
            <w:shd w:val="clear" w:color="auto" w:fill="E7E6E6" w:themeFill="background2"/>
          </w:tcPr>
          <w:p w14:paraId="56B64780" w14:textId="77777777" w:rsidR="0036588E" w:rsidRPr="00E93010" w:rsidRDefault="0036588E" w:rsidP="00324A26">
            <w:pPr>
              <w:rPr>
                <w:rFonts w:ascii="Georgia" w:hAnsi="Georgia"/>
                <w:sz w:val="16"/>
                <w:szCs w:val="16"/>
              </w:rPr>
            </w:pPr>
            <w:r w:rsidRPr="00E93010">
              <w:rPr>
                <w:rFonts w:ascii="Georgia" w:hAnsi="Georgia"/>
                <w:b/>
                <w:sz w:val="16"/>
                <w:szCs w:val="16"/>
              </w:rPr>
              <w:t>1.</w:t>
            </w:r>
          </w:p>
        </w:tc>
        <w:tc>
          <w:tcPr>
            <w:tcW w:w="3544" w:type="dxa"/>
            <w:shd w:val="clear" w:color="auto" w:fill="E7E6E6" w:themeFill="background2"/>
          </w:tcPr>
          <w:p w14:paraId="29E1DF8E" w14:textId="77777777" w:rsidR="0036588E" w:rsidRDefault="0036588E" w:rsidP="00324A26">
            <w:pPr>
              <w:rPr>
                <w:rFonts w:ascii="Georgia" w:hAnsi="Georgia"/>
                <w:sz w:val="16"/>
                <w:szCs w:val="16"/>
              </w:rPr>
            </w:pPr>
            <w:r w:rsidRPr="00E93010">
              <w:rPr>
                <w:rFonts w:ascii="Georgia" w:hAnsi="Georgia"/>
                <w:i/>
                <w:sz w:val="16"/>
                <w:szCs w:val="16"/>
              </w:rPr>
              <w:t xml:space="preserve">Overskriften </w:t>
            </w:r>
            <w:r w:rsidRPr="00E93010">
              <w:rPr>
                <w:rFonts w:ascii="Georgia" w:hAnsi="Georgia"/>
                <w:sz w:val="16"/>
                <w:szCs w:val="16"/>
              </w:rPr>
              <w:t>til Kapitel 11 affattes således:</w:t>
            </w:r>
          </w:p>
          <w:p w14:paraId="594A0D32"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08E9235D" w14:textId="77777777" w:rsidR="0036588E" w:rsidRPr="00E93010" w:rsidRDefault="0036588E" w:rsidP="00324A26">
            <w:pPr>
              <w:rPr>
                <w:rFonts w:ascii="Georgia" w:hAnsi="Georgia"/>
                <w:sz w:val="16"/>
                <w:szCs w:val="16"/>
              </w:rPr>
            </w:pPr>
          </w:p>
        </w:tc>
        <w:tc>
          <w:tcPr>
            <w:tcW w:w="3815" w:type="dxa"/>
          </w:tcPr>
          <w:p w14:paraId="72FE6559" w14:textId="77777777" w:rsidR="0036588E" w:rsidRPr="00E93010" w:rsidRDefault="0036588E" w:rsidP="00324A26">
            <w:pPr>
              <w:rPr>
                <w:rFonts w:ascii="Georgia" w:hAnsi="Georgia"/>
                <w:sz w:val="16"/>
                <w:szCs w:val="16"/>
              </w:rPr>
            </w:pPr>
          </w:p>
        </w:tc>
        <w:tc>
          <w:tcPr>
            <w:tcW w:w="2989" w:type="dxa"/>
          </w:tcPr>
          <w:p w14:paraId="2482FAE0" w14:textId="77777777" w:rsidR="0036588E" w:rsidRPr="00E93010" w:rsidRDefault="0036588E" w:rsidP="00324A26">
            <w:pPr>
              <w:rPr>
                <w:rFonts w:ascii="Georgia" w:hAnsi="Georgia"/>
                <w:sz w:val="16"/>
                <w:szCs w:val="16"/>
              </w:rPr>
            </w:pPr>
          </w:p>
        </w:tc>
      </w:tr>
      <w:tr w:rsidR="0036588E" w:rsidRPr="00E93010" w14:paraId="66536AF2" w14:textId="77777777" w:rsidTr="00324A26">
        <w:tc>
          <w:tcPr>
            <w:tcW w:w="562" w:type="dxa"/>
            <w:shd w:val="clear" w:color="auto" w:fill="E7E6E6" w:themeFill="background2"/>
          </w:tcPr>
          <w:p w14:paraId="3D0674A9"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3BB64ACA" w14:textId="77777777" w:rsidR="0036588E" w:rsidRPr="00E93010" w:rsidRDefault="0036588E" w:rsidP="00324A26">
            <w:pPr>
              <w:rPr>
                <w:rFonts w:ascii="Georgia" w:hAnsi="Georgia"/>
                <w:sz w:val="16"/>
                <w:szCs w:val="16"/>
              </w:rPr>
            </w:pPr>
            <w:r w:rsidRPr="00E93010">
              <w:rPr>
                <w:rFonts w:ascii="Georgia" w:hAnsi="Georgia"/>
                <w:sz w:val="16"/>
                <w:szCs w:val="16"/>
              </w:rPr>
              <w:t>»</w:t>
            </w:r>
            <w:r w:rsidRPr="00E93010">
              <w:rPr>
                <w:rFonts w:ascii="Georgia" w:hAnsi="Georgia"/>
                <w:i/>
                <w:sz w:val="16"/>
                <w:szCs w:val="16"/>
              </w:rPr>
              <w:t>Kapitel 11 Energiforbrug og klimapåvirkning«.</w:t>
            </w:r>
          </w:p>
        </w:tc>
        <w:tc>
          <w:tcPr>
            <w:tcW w:w="4536" w:type="dxa"/>
            <w:shd w:val="clear" w:color="auto" w:fill="E7E6E6" w:themeFill="background2"/>
          </w:tcPr>
          <w:p w14:paraId="5B600797" w14:textId="77777777" w:rsidR="0036588E" w:rsidRPr="00E93010" w:rsidRDefault="0036588E" w:rsidP="00324A26">
            <w:pPr>
              <w:rPr>
                <w:rFonts w:ascii="Georgia" w:hAnsi="Georgia"/>
                <w:sz w:val="16"/>
                <w:szCs w:val="16"/>
              </w:rPr>
            </w:pPr>
            <w:r w:rsidRPr="00E93010">
              <w:rPr>
                <w:rFonts w:ascii="Georgia" w:hAnsi="Georgia"/>
                <w:sz w:val="16"/>
                <w:szCs w:val="16"/>
              </w:rPr>
              <w:t xml:space="preserve">Til kapiteloverskriften tilføjes ’klimapåvirkning’, for at kapitlet og dets </w:t>
            </w:r>
            <w:bookmarkStart w:id="0" w:name="_bookmark0"/>
            <w:bookmarkEnd w:id="0"/>
            <w:r w:rsidRPr="00E93010">
              <w:rPr>
                <w:rFonts w:ascii="Georgia" w:hAnsi="Georgia"/>
                <w:sz w:val="16"/>
                <w:szCs w:val="16"/>
              </w:rPr>
              <w:t>formål som beskrevet i § 250 fremover også favner de nye bestemmelser.</w:t>
            </w:r>
          </w:p>
        </w:tc>
        <w:tc>
          <w:tcPr>
            <w:tcW w:w="3815" w:type="dxa"/>
          </w:tcPr>
          <w:p w14:paraId="0E100E64" w14:textId="77777777" w:rsidR="0036588E" w:rsidRPr="00E93010" w:rsidRDefault="0036588E" w:rsidP="00324A26">
            <w:pPr>
              <w:rPr>
                <w:rFonts w:ascii="Georgia" w:hAnsi="Georgia"/>
                <w:sz w:val="16"/>
                <w:szCs w:val="16"/>
              </w:rPr>
            </w:pPr>
          </w:p>
        </w:tc>
        <w:tc>
          <w:tcPr>
            <w:tcW w:w="2989" w:type="dxa"/>
          </w:tcPr>
          <w:p w14:paraId="1904C056" w14:textId="77777777" w:rsidR="0036588E" w:rsidRPr="00E93010" w:rsidRDefault="0036588E" w:rsidP="00324A26">
            <w:pPr>
              <w:rPr>
                <w:rFonts w:ascii="Georgia" w:hAnsi="Georgia"/>
                <w:sz w:val="16"/>
                <w:szCs w:val="16"/>
              </w:rPr>
            </w:pPr>
          </w:p>
        </w:tc>
      </w:tr>
      <w:tr w:rsidR="0036588E" w:rsidRPr="00E93010" w14:paraId="751173BC" w14:textId="77777777" w:rsidTr="00324A26">
        <w:tc>
          <w:tcPr>
            <w:tcW w:w="562" w:type="dxa"/>
            <w:shd w:val="clear" w:color="auto" w:fill="E7E6E6" w:themeFill="background2"/>
          </w:tcPr>
          <w:p w14:paraId="293ABF99" w14:textId="77777777" w:rsidR="0036588E" w:rsidRPr="00E93010" w:rsidRDefault="0036588E" w:rsidP="00324A26">
            <w:pPr>
              <w:rPr>
                <w:rFonts w:ascii="Georgia" w:hAnsi="Georgia"/>
                <w:sz w:val="16"/>
                <w:szCs w:val="16"/>
              </w:rPr>
            </w:pPr>
            <w:r w:rsidRPr="00E93010">
              <w:rPr>
                <w:rFonts w:ascii="Georgia" w:hAnsi="Georgia"/>
                <w:b/>
                <w:sz w:val="16"/>
                <w:szCs w:val="16"/>
              </w:rPr>
              <w:t>2.</w:t>
            </w:r>
          </w:p>
        </w:tc>
        <w:tc>
          <w:tcPr>
            <w:tcW w:w="3544" w:type="dxa"/>
            <w:shd w:val="clear" w:color="auto" w:fill="E7E6E6" w:themeFill="background2"/>
          </w:tcPr>
          <w:p w14:paraId="4DD529D2" w14:textId="77777777" w:rsidR="0036588E" w:rsidRDefault="0036588E" w:rsidP="00324A26">
            <w:pPr>
              <w:rPr>
                <w:rFonts w:ascii="Georgia" w:hAnsi="Georgia"/>
                <w:sz w:val="16"/>
                <w:szCs w:val="16"/>
              </w:rPr>
            </w:pPr>
            <w:r w:rsidRPr="00E93010">
              <w:rPr>
                <w:rFonts w:ascii="Georgia" w:hAnsi="Georgia"/>
                <w:sz w:val="16"/>
                <w:szCs w:val="16"/>
              </w:rPr>
              <w:t xml:space="preserve">I </w:t>
            </w:r>
            <w:r w:rsidRPr="00E93010">
              <w:rPr>
                <w:rFonts w:ascii="Georgia" w:hAnsi="Georgia"/>
                <w:i/>
                <w:sz w:val="16"/>
                <w:szCs w:val="16"/>
              </w:rPr>
              <w:t xml:space="preserve">§ 250 </w:t>
            </w:r>
            <w:r w:rsidRPr="00E93010">
              <w:rPr>
                <w:rFonts w:ascii="Georgia" w:hAnsi="Georgia"/>
                <w:sz w:val="16"/>
                <w:szCs w:val="16"/>
              </w:rPr>
              <w:t>indsættes efter »undgås,«: » og så unødvendig klimapåvirkning undgås,«.</w:t>
            </w:r>
          </w:p>
          <w:p w14:paraId="05B243F2"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22E5488C" w14:textId="77777777" w:rsidR="0036588E" w:rsidRPr="00E93010" w:rsidRDefault="0036588E" w:rsidP="00324A26">
            <w:pPr>
              <w:rPr>
                <w:rFonts w:ascii="Georgia" w:hAnsi="Georgia"/>
                <w:sz w:val="16"/>
                <w:szCs w:val="16"/>
              </w:rPr>
            </w:pPr>
          </w:p>
        </w:tc>
        <w:tc>
          <w:tcPr>
            <w:tcW w:w="3815" w:type="dxa"/>
          </w:tcPr>
          <w:p w14:paraId="511CEE16" w14:textId="77777777" w:rsidR="0036588E" w:rsidRPr="00E93010" w:rsidRDefault="0036588E" w:rsidP="00324A26">
            <w:pPr>
              <w:rPr>
                <w:rFonts w:ascii="Georgia" w:hAnsi="Georgia"/>
                <w:sz w:val="16"/>
                <w:szCs w:val="16"/>
              </w:rPr>
            </w:pPr>
          </w:p>
        </w:tc>
        <w:tc>
          <w:tcPr>
            <w:tcW w:w="2989" w:type="dxa"/>
          </w:tcPr>
          <w:p w14:paraId="5DE6A9EB" w14:textId="77777777" w:rsidR="0036588E" w:rsidRPr="00E93010" w:rsidRDefault="0036588E" w:rsidP="00324A26">
            <w:pPr>
              <w:rPr>
                <w:rFonts w:ascii="Georgia" w:hAnsi="Georgia"/>
                <w:sz w:val="16"/>
                <w:szCs w:val="16"/>
              </w:rPr>
            </w:pPr>
          </w:p>
        </w:tc>
      </w:tr>
      <w:tr w:rsidR="0036588E" w:rsidRPr="00E93010" w14:paraId="43A4CD36" w14:textId="77777777" w:rsidTr="00324A26">
        <w:tc>
          <w:tcPr>
            <w:tcW w:w="562" w:type="dxa"/>
            <w:shd w:val="clear" w:color="auto" w:fill="E7E6E6" w:themeFill="background2"/>
          </w:tcPr>
          <w:p w14:paraId="3991EB8F" w14:textId="77777777" w:rsidR="0036588E" w:rsidRPr="00E93010" w:rsidRDefault="0036588E" w:rsidP="00324A26">
            <w:pPr>
              <w:rPr>
                <w:rFonts w:ascii="Georgia" w:hAnsi="Georgia"/>
                <w:sz w:val="16"/>
                <w:szCs w:val="16"/>
              </w:rPr>
            </w:pPr>
            <w:r w:rsidRPr="00E93010">
              <w:rPr>
                <w:rFonts w:ascii="Georgia" w:hAnsi="Georgia"/>
                <w:b/>
                <w:sz w:val="16"/>
                <w:szCs w:val="16"/>
              </w:rPr>
              <w:t>3.</w:t>
            </w:r>
          </w:p>
        </w:tc>
        <w:tc>
          <w:tcPr>
            <w:tcW w:w="3544" w:type="dxa"/>
            <w:shd w:val="clear" w:color="auto" w:fill="E7E6E6" w:themeFill="background2"/>
          </w:tcPr>
          <w:p w14:paraId="2E0694F5" w14:textId="77777777" w:rsidR="0036588E" w:rsidRPr="00E93010" w:rsidRDefault="0036588E" w:rsidP="00324A26">
            <w:pPr>
              <w:pStyle w:val="TableParagraph"/>
              <w:ind w:left="100"/>
              <w:rPr>
                <w:sz w:val="16"/>
                <w:szCs w:val="16"/>
                <w:lang w:val="da-DK"/>
              </w:rPr>
            </w:pPr>
            <w:r w:rsidRPr="00E93010">
              <w:rPr>
                <w:sz w:val="16"/>
                <w:szCs w:val="16"/>
                <w:lang w:val="da-DK"/>
              </w:rPr>
              <w:t xml:space="preserve">Før § 251 indsættes som ny </w:t>
            </w:r>
            <w:r w:rsidRPr="00E93010">
              <w:rPr>
                <w:i/>
                <w:sz w:val="16"/>
                <w:szCs w:val="16"/>
                <w:lang w:val="da-DK"/>
              </w:rPr>
              <w:t>overskrift</w:t>
            </w:r>
            <w:r w:rsidRPr="00E93010">
              <w:rPr>
                <w:sz w:val="16"/>
                <w:szCs w:val="16"/>
                <w:lang w:val="da-DK"/>
              </w:rPr>
              <w:t>:</w:t>
            </w:r>
          </w:p>
          <w:p w14:paraId="4D8D43D5" w14:textId="77777777" w:rsidR="0036588E" w:rsidRDefault="0036588E" w:rsidP="00324A26">
            <w:pPr>
              <w:rPr>
                <w:rFonts w:ascii="Georgia" w:hAnsi="Georgia"/>
                <w:i/>
                <w:sz w:val="16"/>
                <w:szCs w:val="16"/>
              </w:rPr>
            </w:pPr>
            <w:r w:rsidRPr="00E93010">
              <w:rPr>
                <w:rFonts w:ascii="Georgia" w:hAnsi="Georgia"/>
                <w:i/>
                <w:sz w:val="16"/>
                <w:szCs w:val="16"/>
              </w:rPr>
              <w:t>»Bygningers energiforbrug«</w:t>
            </w:r>
          </w:p>
          <w:p w14:paraId="3F70317F"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4E27BD49" w14:textId="77777777" w:rsidR="0036588E" w:rsidRPr="00E93010" w:rsidRDefault="0036588E" w:rsidP="00324A26">
            <w:pPr>
              <w:rPr>
                <w:rFonts w:ascii="Georgia" w:hAnsi="Georgia"/>
                <w:sz w:val="16"/>
                <w:szCs w:val="16"/>
              </w:rPr>
            </w:pPr>
          </w:p>
        </w:tc>
        <w:tc>
          <w:tcPr>
            <w:tcW w:w="3815" w:type="dxa"/>
          </w:tcPr>
          <w:p w14:paraId="659585CA" w14:textId="77777777" w:rsidR="0036588E" w:rsidRPr="00E93010" w:rsidRDefault="0036588E" w:rsidP="00324A26">
            <w:pPr>
              <w:rPr>
                <w:rFonts w:ascii="Georgia" w:hAnsi="Georgia"/>
                <w:sz w:val="16"/>
                <w:szCs w:val="16"/>
              </w:rPr>
            </w:pPr>
          </w:p>
        </w:tc>
        <w:tc>
          <w:tcPr>
            <w:tcW w:w="2989" w:type="dxa"/>
          </w:tcPr>
          <w:p w14:paraId="343A8248" w14:textId="77777777" w:rsidR="0036588E" w:rsidRPr="00E93010" w:rsidRDefault="0036588E" w:rsidP="00324A26">
            <w:pPr>
              <w:rPr>
                <w:rFonts w:ascii="Georgia" w:hAnsi="Georgia"/>
                <w:sz w:val="16"/>
                <w:szCs w:val="16"/>
              </w:rPr>
            </w:pPr>
          </w:p>
        </w:tc>
      </w:tr>
      <w:tr w:rsidR="0036588E" w:rsidRPr="00E93010" w14:paraId="195103B6" w14:textId="77777777" w:rsidTr="00324A26">
        <w:tc>
          <w:tcPr>
            <w:tcW w:w="562" w:type="dxa"/>
            <w:shd w:val="clear" w:color="auto" w:fill="E7E6E6" w:themeFill="background2"/>
          </w:tcPr>
          <w:p w14:paraId="24616E48" w14:textId="77777777" w:rsidR="0036588E" w:rsidRPr="00E93010" w:rsidRDefault="0036588E" w:rsidP="00324A26">
            <w:pPr>
              <w:rPr>
                <w:rFonts w:ascii="Georgia" w:hAnsi="Georgia"/>
                <w:sz w:val="16"/>
                <w:szCs w:val="16"/>
              </w:rPr>
            </w:pPr>
            <w:r w:rsidRPr="00E93010">
              <w:rPr>
                <w:rFonts w:ascii="Georgia" w:hAnsi="Georgia"/>
                <w:b/>
                <w:sz w:val="16"/>
                <w:szCs w:val="16"/>
              </w:rPr>
              <w:t>4.</w:t>
            </w:r>
          </w:p>
        </w:tc>
        <w:tc>
          <w:tcPr>
            <w:tcW w:w="3544" w:type="dxa"/>
            <w:shd w:val="clear" w:color="auto" w:fill="E7E6E6" w:themeFill="background2"/>
          </w:tcPr>
          <w:p w14:paraId="48D07594" w14:textId="77777777" w:rsidR="0036588E" w:rsidRPr="00E93010" w:rsidRDefault="0036588E" w:rsidP="00324A26">
            <w:pPr>
              <w:pStyle w:val="TableParagraph"/>
              <w:ind w:left="100"/>
              <w:rPr>
                <w:sz w:val="16"/>
                <w:szCs w:val="16"/>
                <w:lang w:val="da-DK"/>
              </w:rPr>
            </w:pPr>
            <w:r w:rsidRPr="00E93010">
              <w:rPr>
                <w:i/>
                <w:sz w:val="16"/>
                <w:szCs w:val="16"/>
                <w:lang w:val="da-DK"/>
              </w:rPr>
              <w:t xml:space="preserve">§ 293 </w:t>
            </w:r>
            <w:r w:rsidRPr="00E93010">
              <w:rPr>
                <w:sz w:val="16"/>
                <w:szCs w:val="16"/>
                <w:lang w:val="da-DK"/>
              </w:rPr>
              <w:t>affattes således:</w:t>
            </w:r>
          </w:p>
          <w:p w14:paraId="003B9C2A" w14:textId="77777777" w:rsidR="0036588E" w:rsidRPr="00E93010" w:rsidRDefault="0036588E" w:rsidP="00324A26">
            <w:pPr>
              <w:pStyle w:val="TableParagraph"/>
              <w:spacing w:before="51"/>
              <w:ind w:left="100"/>
              <w:rPr>
                <w:sz w:val="16"/>
                <w:szCs w:val="16"/>
                <w:lang w:val="da-DK"/>
              </w:rPr>
            </w:pPr>
            <w:r w:rsidRPr="00E93010">
              <w:rPr>
                <w:sz w:val="16"/>
                <w:szCs w:val="16"/>
                <w:lang w:val="da-DK"/>
              </w:rPr>
              <w:t>»</w:t>
            </w:r>
            <w:r w:rsidRPr="00E93010">
              <w:rPr>
                <w:b/>
                <w:sz w:val="16"/>
                <w:szCs w:val="16"/>
                <w:lang w:val="da-DK"/>
              </w:rPr>
              <w:t xml:space="preserve">§ 293. </w:t>
            </w:r>
            <w:r w:rsidRPr="00E93010">
              <w:rPr>
                <w:sz w:val="16"/>
                <w:szCs w:val="16"/>
                <w:lang w:val="da-DK"/>
              </w:rPr>
              <w:t>Bygningsopvarmning skal baseres på vedvarende energi.</w:t>
            </w:r>
          </w:p>
          <w:p w14:paraId="09E2B23B" w14:textId="77777777" w:rsidR="0036588E" w:rsidRDefault="0036588E" w:rsidP="00324A26">
            <w:pPr>
              <w:pStyle w:val="TableParagraph"/>
              <w:spacing w:before="49"/>
              <w:ind w:left="100" w:right="140" w:firstLine="144"/>
              <w:rPr>
                <w:sz w:val="16"/>
                <w:szCs w:val="16"/>
                <w:lang w:val="da-DK"/>
              </w:rPr>
            </w:pPr>
            <w:r w:rsidRPr="00E93010">
              <w:rPr>
                <w:i/>
                <w:sz w:val="16"/>
                <w:szCs w:val="16"/>
                <w:lang w:val="da-DK"/>
              </w:rPr>
              <w:t>Stk. 2</w:t>
            </w:r>
            <w:r w:rsidRPr="00E93010">
              <w:rPr>
                <w:sz w:val="16"/>
                <w:szCs w:val="16"/>
                <w:lang w:val="da-DK"/>
              </w:rPr>
              <w:t>. I bygninger beliggende i områder, hvor tilslutning til fjernvarmenet er mulig, kan bygningsopvarmning baseres på fjernvarme uanset stk. 1.</w:t>
            </w:r>
          </w:p>
          <w:p w14:paraId="58DC3309" w14:textId="77777777" w:rsidR="0036588E" w:rsidRPr="00E93010" w:rsidRDefault="0036588E" w:rsidP="00324A26">
            <w:pPr>
              <w:pStyle w:val="TableParagraph"/>
              <w:spacing w:before="49"/>
              <w:ind w:left="100" w:right="140" w:firstLine="144"/>
              <w:rPr>
                <w:sz w:val="16"/>
                <w:szCs w:val="16"/>
                <w:lang w:val="da-DK"/>
              </w:rPr>
            </w:pPr>
          </w:p>
          <w:p w14:paraId="129ED1EE" w14:textId="77777777" w:rsidR="0036588E" w:rsidRDefault="0036588E" w:rsidP="00324A26">
            <w:pPr>
              <w:pStyle w:val="TableParagraph"/>
              <w:spacing w:before="1"/>
              <w:ind w:left="100" w:right="231" w:firstLine="144"/>
              <w:rPr>
                <w:sz w:val="16"/>
                <w:szCs w:val="16"/>
                <w:lang w:val="da-DK"/>
              </w:rPr>
            </w:pPr>
            <w:r w:rsidRPr="00E93010">
              <w:rPr>
                <w:i/>
                <w:sz w:val="16"/>
                <w:szCs w:val="16"/>
                <w:lang w:val="da-DK"/>
              </w:rPr>
              <w:t>Stk. 3</w:t>
            </w:r>
            <w:r w:rsidRPr="00E93010">
              <w:rPr>
                <w:sz w:val="16"/>
                <w:szCs w:val="16"/>
                <w:lang w:val="da-DK"/>
              </w:rPr>
              <w:t>. I bygninger beliggende i områder, hvor der er etableret naturgasnet, eller hvor der foreligger en projektgodkendelse udarbejdet inden 1. januar 2013 om individuel naturgasforsyning af området i henhold til varmeforsyningsloven, kan bygningsopvarmningen baseres på naturgas uanset stk. 1.</w:t>
            </w:r>
          </w:p>
          <w:p w14:paraId="71E850B4" w14:textId="77777777" w:rsidR="0036588E" w:rsidRPr="00E93010" w:rsidRDefault="0036588E" w:rsidP="00324A26">
            <w:pPr>
              <w:pStyle w:val="TableParagraph"/>
              <w:spacing w:before="1"/>
              <w:ind w:left="100" w:right="231" w:firstLine="144"/>
              <w:rPr>
                <w:sz w:val="16"/>
                <w:szCs w:val="16"/>
                <w:lang w:val="da-DK"/>
              </w:rPr>
            </w:pPr>
          </w:p>
          <w:p w14:paraId="786D00E6" w14:textId="77777777" w:rsidR="0036588E" w:rsidRDefault="0036588E" w:rsidP="00324A26">
            <w:pPr>
              <w:pStyle w:val="TableParagraph"/>
              <w:ind w:left="100" w:right="208"/>
              <w:rPr>
                <w:sz w:val="16"/>
                <w:szCs w:val="16"/>
                <w:lang w:val="da-DK"/>
              </w:rPr>
            </w:pPr>
            <w:r w:rsidRPr="00E93010">
              <w:rPr>
                <w:i/>
                <w:sz w:val="16"/>
                <w:szCs w:val="16"/>
                <w:lang w:val="da-DK"/>
              </w:rPr>
              <w:t>Stk. 4</w:t>
            </w:r>
            <w:r w:rsidRPr="00E93010">
              <w:rPr>
                <w:sz w:val="16"/>
                <w:szCs w:val="16"/>
                <w:lang w:val="da-DK"/>
              </w:rPr>
              <w:t>. Eksisterende bygninger beliggende i områder, hvor tilslutning til fjernvarmenet ikke er mulig, eller hvor der ikke er etableret naturgasnet eller truffet beslutning herom i henhold til varmeforsyningsloven inden 1. januar 2013, jf. stk. 3, er ikke omfattet af stk. 1.</w:t>
            </w:r>
          </w:p>
          <w:p w14:paraId="08C86CF9" w14:textId="77777777" w:rsidR="0036588E" w:rsidRPr="00E93010" w:rsidRDefault="0036588E" w:rsidP="00324A26">
            <w:pPr>
              <w:pStyle w:val="TableParagraph"/>
              <w:ind w:left="100" w:right="208"/>
              <w:rPr>
                <w:sz w:val="16"/>
                <w:szCs w:val="16"/>
                <w:lang w:val="da-DK"/>
              </w:rPr>
            </w:pPr>
          </w:p>
          <w:p w14:paraId="0C0931DA" w14:textId="77777777" w:rsidR="0036588E" w:rsidRPr="00E93010" w:rsidRDefault="0036588E" w:rsidP="00324A26">
            <w:pPr>
              <w:pStyle w:val="TableParagraph"/>
              <w:ind w:left="100" w:right="144" w:firstLine="144"/>
              <w:rPr>
                <w:sz w:val="16"/>
                <w:szCs w:val="16"/>
                <w:lang w:val="da-DK"/>
              </w:rPr>
            </w:pPr>
            <w:r w:rsidRPr="00E93010">
              <w:rPr>
                <w:i/>
                <w:sz w:val="16"/>
                <w:szCs w:val="16"/>
                <w:lang w:val="da-DK"/>
              </w:rPr>
              <w:t>Stk. 5</w:t>
            </w:r>
            <w:r w:rsidRPr="00E93010">
              <w:rPr>
                <w:sz w:val="16"/>
                <w:szCs w:val="16"/>
                <w:lang w:val="da-DK"/>
              </w:rPr>
              <w:t>. Der kan kun meddeles dispensation fra stk. 1, hvis der efter en konkret vurdering er forhold ved bebyggelsen eller ejendommen, der gør bygningsopvarmning baseret på vedvarende energi uegnet. Ved dispensation kan kommunalbestyrelsen eksempelvis lægge vægt på, at en eller flere af følgende faktorer gør installationen af vedvarende energi ved det konkrete byggeri uegnet:</w:t>
            </w:r>
          </w:p>
          <w:p w14:paraId="57CA1DCF" w14:textId="77777777" w:rsidR="0036588E" w:rsidRPr="00E93010" w:rsidRDefault="0036588E" w:rsidP="00324A26">
            <w:pPr>
              <w:pStyle w:val="TableParagraph"/>
              <w:numPr>
                <w:ilvl w:val="0"/>
                <w:numId w:val="1"/>
              </w:numPr>
              <w:tabs>
                <w:tab w:val="left" w:pos="310"/>
              </w:tabs>
              <w:spacing w:before="1"/>
              <w:rPr>
                <w:sz w:val="16"/>
                <w:szCs w:val="16"/>
              </w:rPr>
            </w:pPr>
            <w:proofErr w:type="spellStart"/>
            <w:r w:rsidRPr="00E93010">
              <w:rPr>
                <w:sz w:val="16"/>
                <w:szCs w:val="16"/>
              </w:rPr>
              <w:t>Grundstørrelse</w:t>
            </w:r>
            <w:proofErr w:type="spellEnd"/>
            <w:r w:rsidRPr="00E93010">
              <w:rPr>
                <w:sz w:val="16"/>
                <w:szCs w:val="16"/>
              </w:rPr>
              <w:t>.</w:t>
            </w:r>
          </w:p>
          <w:p w14:paraId="7FE66F14" w14:textId="77777777" w:rsidR="0036588E" w:rsidRPr="00E93010" w:rsidRDefault="0036588E" w:rsidP="00324A26">
            <w:pPr>
              <w:pStyle w:val="TableParagraph"/>
              <w:numPr>
                <w:ilvl w:val="0"/>
                <w:numId w:val="1"/>
              </w:numPr>
              <w:tabs>
                <w:tab w:val="left" w:pos="334"/>
              </w:tabs>
              <w:spacing w:before="51"/>
              <w:ind w:left="333" w:hanging="233"/>
              <w:rPr>
                <w:sz w:val="16"/>
                <w:szCs w:val="16"/>
              </w:rPr>
            </w:pPr>
            <w:proofErr w:type="spellStart"/>
            <w:r w:rsidRPr="00E93010">
              <w:rPr>
                <w:sz w:val="16"/>
                <w:szCs w:val="16"/>
              </w:rPr>
              <w:t>Bygningens</w:t>
            </w:r>
            <w:proofErr w:type="spellEnd"/>
            <w:r w:rsidRPr="00E93010">
              <w:rPr>
                <w:sz w:val="16"/>
                <w:szCs w:val="16"/>
              </w:rPr>
              <w:t xml:space="preserve"> </w:t>
            </w:r>
            <w:proofErr w:type="spellStart"/>
            <w:r w:rsidRPr="00E93010">
              <w:rPr>
                <w:sz w:val="16"/>
                <w:szCs w:val="16"/>
              </w:rPr>
              <w:t>placering</w:t>
            </w:r>
            <w:proofErr w:type="spellEnd"/>
            <w:r w:rsidRPr="00E93010">
              <w:rPr>
                <w:sz w:val="16"/>
                <w:szCs w:val="16"/>
              </w:rPr>
              <w:t xml:space="preserve"> </w:t>
            </w:r>
            <w:proofErr w:type="spellStart"/>
            <w:r w:rsidRPr="00E93010">
              <w:rPr>
                <w:sz w:val="16"/>
                <w:szCs w:val="16"/>
              </w:rPr>
              <w:t>på</w:t>
            </w:r>
            <w:proofErr w:type="spellEnd"/>
            <w:r w:rsidRPr="00E93010">
              <w:rPr>
                <w:spacing w:val="-11"/>
                <w:sz w:val="16"/>
                <w:szCs w:val="16"/>
              </w:rPr>
              <w:t xml:space="preserve"> </w:t>
            </w:r>
            <w:proofErr w:type="spellStart"/>
            <w:r w:rsidRPr="00E93010">
              <w:rPr>
                <w:sz w:val="16"/>
                <w:szCs w:val="16"/>
              </w:rPr>
              <w:t>grunden</w:t>
            </w:r>
            <w:proofErr w:type="spellEnd"/>
            <w:r w:rsidRPr="00E93010">
              <w:rPr>
                <w:sz w:val="16"/>
                <w:szCs w:val="16"/>
              </w:rPr>
              <w:t>.</w:t>
            </w:r>
          </w:p>
          <w:p w14:paraId="46404D26" w14:textId="77777777" w:rsidR="0036588E" w:rsidRPr="00E93010" w:rsidRDefault="0036588E" w:rsidP="00324A26">
            <w:pPr>
              <w:pStyle w:val="TableParagraph"/>
              <w:numPr>
                <w:ilvl w:val="0"/>
                <w:numId w:val="1"/>
              </w:numPr>
              <w:tabs>
                <w:tab w:val="left" w:pos="334"/>
              </w:tabs>
              <w:spacing w:before="49"/>
              <w:ind w:left="333" w:hanging="233"/>
              <w:rPr>
                <w:sz w:val="16"/>
                <w:szCs w:val="16"/>
              </w:rPr>
            </w:pPr>
            <w:proofErr w:type="spellStart"/>
            <w:r w:rsidRPr="00E93010">
              <w:rPr>
                <w:sz w:val="16"/>
                <w:szCs w:val="16"/>
              </w:rPr>
              <w:t>Nabohensyn</w:t>
            </w:r>
            <w:proofErr w:type="spellEnd"/>
            <w:r w:rsidRPr="00E93010">
              <w:rPr>
                <w:sz w:val="16"/>
                <w:szCs w:val="16"/>
              </w:rPr>
              <w:t>.</w:t>
            </w:r>
          </w:p>
          <w:p w14:paraId="2BDC8073" w14:textId="77777777" w:rsidR="0036588E" w:rsidRPr="00E93010" w:rsidRDefault="0036588E" w:rsidP="00324A26">
            <w:pPr>
              <w:pStyle w:val="TableParagraph"/>
              <w:numPr>
                <w:ilvl w:val="0"/>
                <w:numId w:val="1"/>
              </w:numPr>
              <w:tabs>
                <w:tab w:val="left" w:pos="336"/>
              </w:tabs>
              <w:spacing w:before="51"/>
              <w:ind w:left="336" w:hanging="236"/>
              <w:rPr>
                <w:sz w:val="16"/>
                <w:szCs w:val="16"/>
              </w:rPr>
            </w:pPr>
            <w:proofErr w:type="spellStart"/>
            <w:r w:rsidRPr="00E93010">
              <w:rPr>
                <w:sz w:val="16"/>
                <w:szCs w:val="16"/>
              </w:rPr>
              <w:t>Lokale</w:t>
            </w:r>
            <w:proofErr w:type="spellEnd"/>
            <w:r w:rsidRPr="00E93010">
              <w:rPr>
                <w:sz w:val="16"/>
                <w:szCs w:val="16"/>
              </w:rPr>
              <w:t xml:space="preserve"> </w:t>
            </w:r>
            <w:proofErr w:type="spellStart"/>
            <w:r w:rsidRPr="00E93010">
              <w:rPr>
                <w:sz w:val="16"/>
                <w:szCs w:val="16"/>
              </w:rPr>
              <w:t>udbygningsplaner</w:t>
            </w:r>
            <w:proofErr w:type="spellEnd"/>
            <w:r w:rsidRPr="00E93010">
              <w:rPr>
                <w:sz w:val="16"/>
                <w:szCs w:val="16"/>
              </w:rPr>
              <w:t xml:space="preserve"> for</w:t>
            </w:r>
            <w:r w:rsidRPr="00E93010">
              <w:rPr>
                <w:spacing w:val="-22"/>
                <w:sz w:val="16"/>
                <w:szCs w:val="16"/>
              </w:rPr>
              <w:t xml:space="preserve"> </w:t>
            </w:r>
            <w:proofErr w:type="spellStart"/>
            <w:r w:rsidRPr="00E93010">
              <w:rPr>
                <w:sz w:val="16"/>
                <w:szCs w:val="16"/>
              </w:rPr>
              <w:t>fjernvarme</w:t>
            </w:r>
            <w:proofErr w:type="spellEnd"/>
            <w:r w:rsidRPr="00E93010">
              <w:rPr>
                <w:sz w:val="16"/>
                <w:szCs w:val="16"/>
              </w:rPr>
              <w:t>.</w:t>
            </w:r>
          </w:p>
          <w:p w14:paraId="453886DB" w14:textId="77777777" w:rsidR="0036588E" w:rsidRDefault="0036588E" w:rsidP="00324A26">
            <w:pPr>
              <w:rPr>
                <w:rFonts w:ascii="Georgia" w:hAnsi="Georgia"/>
                <w:sz w:val="16"/>
                <w:szCs w:val="16"/>
              </w:rPr>
            </w:pPr>
            <w:r w:rsidRPr="00E93010">
              <w:rPr>
                <w:rFonts w:ascii="Georgia" w:hAnsi="Georgia"/>
                <w:sz w:val="16"/>
                <w:szCs w:val="16"/>
              </w:rPr>
              <w:t>Bygningens påtænkte</w:t>
            </w:r>
            <w:r w:rsidRPr="00E93010">
              <w:rPr>
                <w:rFonts w:ascii="Georgia" w:hAnsi="Georgia"/>
                <w:spacing w:val="-17"/>
                <w:sz w:val="16"/>
                <w:szCs w:val="16"/>
              </w:rPr>
              <w:t xml:space="preserve"> </w:t>
            </w:r>
            <w:r w:rsidRPr="00E93010">
              <w:rPr>
                <w:rFonts w:ascii="Georgia" w:hAnsi="Georgia"/>
                <w:sz w:val="16"/>
                <w:szCs w:val="16"/>
              </w:rPr>
              <w:t>anvendelse.«</w:t>
            </w:r>
          </w:p>
          <w:p w14:paraId="249A598D"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506A2F78" w14:textId="77777777" w:rsidR="0036588E" w:rsidRPr="00E93010" w:rsidRDefault="0036588E" w:rsidP="00324A26">
            <w:pPr>
              <w:rPr>
                <w:rFonts w:ascii="Georgia" w:hAnsi="Georgia"/>
                <w:sz w:val="16"/>
                <w:szCs w:val="16"/>
              </w:rPr>
            </w:pPr>
          </w:p>
        </w:tc>
        <w:tc>
          <w:tcPr>
            <w:tcW w:w="3815" w:type="dxa"/>
          </w:tcPr>
          <w:p w14:paraId="14ABDFBE" w14:textId="77777777" w:rsidR="0036588E" w:rsidRPr="00E93010" w:rsidRDefault="0036588E" w:rsidP="00324A26">
            <w:pPr>
              <w:rPr>
                <w:rFonts w:ascii="Georgia" w:hAnsi="Georgia"/>
                <w:sz w:val="16"/>
                <w:szCs w:val="16"/>
              </w:rPr>
            </w:pPr>
          </w:p>
        </w:tc>
        <w:tc>
          <w:tcPr>
            <w:tcW w:w="2989" w:type="dxa"/>
          </w:tcPr>
          <w:p w14:paraId="20B34B00" w14:textId="77777777" w:rsidR="0036588E" w:rsidRPr="00E93010" w:rsidRDefault="0036588E" w:rsidP="00324A26">
            <w:pPr>
              <w:rPr>
                <w:rFonts w:ascii="Georgia" w:hAnsi="Georgia"/>
                <w:sz w:val="16"/>
                <w:szCs w:val="16"/>
              </w:rPr>
            </w:pPr>
          </w:p>
        </w:tc>
      </w:tr>
      <w:tr w:rsidR="0036588E" w:rsidRPr="00E93010" w14:paraId="42D4DF97" w14:textId="77777777" w:rsidTr="00324A26">
        <w:tc>
          <w:tcPr>
            <w:tcW w:w="562" w:type="dxa"/>
            <w:shd w:val="clear" w:color="auto" w:fill="E7E6E6" w:themeFill="background2"/>
          </w:tcPr>
          <w:p w14:paraId="5408263F"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57B02384" w14:textId="77777777" w:rsidR="0036588E" w:rsidRPr="00E93010" w:rsidRDefault="0036588E" w:rsidP="00324A26">
            <w:pPr>
              <w:pStyle w:val="TableParagraph"/>
              <w:ind w:left="100"/>
              <w:rPr>
                <w:sz w:val="16"/>
                <w:szCs w:val="16"/>
                <w:lang w:val="da-DK"/>
              </w:rPr>
            </w:pPr>
            <w:r w:rsidRPr="00E93010">
              <w:rPr>
                <w:sz w:val="16"/>
                <w:szCs w:val="16"/>
                <w:lang w:val="da-DK"/>
              </w:rPr>
              <w:t xml:space="preserve">§ </w:t>
            </w:r>
            <w:r w:rsidRPr="00E93010">
              <w:rPr>
                <w:i/>
                <w:sz w:val="16"/>
                <w:szCs w:val="16"/>
                <w:lang w:val="da-DK"/>
              </w:rPr>
              <w:t xml:space="preserve">294 </w:t>
            </w:r>
            <w:r w:rsidRPr="00E93010">
              <w:rPr>
                <w:sz w:val="16"/>
                <w:szCs w:val="16"/>
                <w:lang w:val="da-DK"/>
              </w:rPr>
              <w:t>affattes således:</w:t>
            </w:r>
          </w:p>
          <w:p w14:paraId="1B4F569F" w14:textId="77777777" w:rsidR="0036588E" w:rsidRDefault="0036588E" w:rsidP="00324A26">
            <w:pPr>
              <w:pStyle w:val="TableParagraph"/>
              <w:spacing w:before="51"/>
              <w:ind w:left="100" w:right="192"/>
              <w:rPr>
                <w:sz w:val="16"/>
                <w:szCs w:val="16"/>
                <w:lang w:val="da-DK"/>
              </w:rPr>
            </w:pPr>
            <w:r w:rsidRPr="00E93010">
              <w:rPr>
                <w:sz w:val="16"/>
                <w:szCs w:val="16"/>
                <w:lang w:val="da-DK"/>
              </w:rPr>
              <w:t>»</w:t>
            </w:r>
            <w:r w:rsidRPr="00E93010">
              <w:rPr>
                <w:b/>
                <w:sz w:val="16"/>
                <w:szCs w:val="16"/>
                <w:lang w:val="da-DK"/>
              </w:rPr>
              <w:t xml:space="preserve">§ 294. </w:t>
            </w:r>
            <w:r w:rsidRPr="00E93010">
              <w:rPr>
                <w:sz w:val="16"/>
                <w:szCs w:val="16"/>
                <w:lang w:val="da-DK"/>
              </w:rPr>
              <w:t>I nybyggeri og i eksisterende bygninger, hvor bygningsopvarmningen ikke er baseret på vedvarende energi i overensstemmelse med § 293, og hvor der foretages ombygninger eller forandringer, der er væsentlige, skal der være en andel af vedvarende energi i den samlede energiforsyning til bygningen, hvis dette er teknisk muligt og økonomisk rentabelt. Rentabilitet vurderes efter § 275.</w:t>
            </w:r>
          </w:p>
          <w:p w14:paraId="4DBAD92B" w14:textId="77777777" w:rsidR="0036588E" w:rsidRDefault="0036588E" w:rsidP="00324A26">
            <w:pPr>
              <w:pStyle w:val="TableParagraph"/>
              <w:spacing w:before="51"/>
              <w:ind w:left="100" w:right="192"/>
              <w:rPr>
                <w:sz w:val="16"/>
                <w:szCs w:val="16"/>
                <w:lang w:val="da-DK"/>
              </w:rPr>
            </w:pPr>
            <w:r w:rsidRPr="00E93010">
              <w:rPr>
                <w:sz w:val="16"/>
                <w:szCs w:val="16"/>
                <w:lang w:val="da-DK"/>
              </w:rPr>
              <w:t xml:space="preserve">Bestemmelsen gælder ikke renoveringer af kirker samt fredede og bevaringsværdige bygninger, jf. </w:t>
            </w:r>
            <w:r w:rsidRPr="009042B7">
              <w:rPr>
                <w:sz w:val="16"/>
                <w:szCs w:val="16"/>
                <w:lang w:val="da-DK"/>
              </w:rPr>
              <w:t>§ 278.«</w:t>
            </w:r>
          </w:p>
          <w:p w14:paraId="142A246F" w14:textId="77777777" w:rsidR="0036588E" w:rsidRPr="009042B7" w:rsidRDefault="0036588E" w:rsidP="00324A26">
            <w:pPr>
              <w:pStyle w:val="TableParagraph"/>
              <w:spacing w:before="51"/>
              <w:ind w:left="100" w:right="192"/>
              <w:rPr>
                <w:sz w:val="16"/>
                <w:szCs w:val="16"/>
                <w:lang w:val="da-DK"/>
              </w:rPr>
            </w:pPr>
          </w:p>
        </w:tc>
        <w:tc>
          <w:tcPr>
            <w:tcW w:w="4536" w:type="dxa"/>
            <w:shd w:val="clear" w:color="auto" w:fill="E7E6E6" w:themeFill="background2"/>
          </w:tcPr>
          <w:p w14:paraId="2FC479B0" w14:textId="77777777" w:rsidR="0036588E" w:rsidRPr="00E93010" w:rsidRDefault="0036588E" w:rsidP="00324A26">
            <w:pPr>
              <w:rPr>
                <w:rFonts w:ascii="Georgia" w:hAnsi="Georgia"/>
                <w:sz w:val="16"/>
                <w:szCs w:val="16"/>
              </w:rPr>
            </w:pPr>
          </w:p>
        </w:tc>
        <w:tc>
          <w:tcPr>
            <w:tcW w:w="3815" w:type="dxa"/>
          </w:tcPr>
          <w:p w14:paraId="1F7D13BB" w14:textId="77777777" w:rsidR="0036588E" w:rsidRPr="00E93010" w:rsidRDefault="0036588E" w:rsidP="00324A26">
            <w:pPr>
              <w:rPr>
                <w:rFonts w:ascii="Georgia" w:hAnsi="Georgia"/>
                <w:sz w:val="16"/>
                <w:szCs w:val="16"/>
              </w:rPr>
            </w:pPr>
          </w:p>
        </w:tc>
        <w:tc>
          <w:tcPr>
            <w:tcW w:w="2989" w:type="dxa"/>
          </w:tcPr>
          <w:p w14:paraId="1C6AA8A7" w14:textId="77777777" w:rsidR="0036588E" w:rsidRPr="00E93010" w:rsidRDefault="0036588E" w:rsidP="00324A26">
            <w:pPr>
              <w:rPr>
                <w:rFonts w:ascii="Georgia" w:hAnsi="Georgia"/>
                <w:sz w:val="16"/>
                <w:szCs w:val="16"/>
              </w:rPr>
            </w:pPr>
          </w:p>
        </w:tc>
      </w:tr>
      <w:tr w:rsidR="0036588E" w:rsidRPr="00E93010" w14:paraId="6AEE620D" w14:textId="77777777" w:rsidTr="00324A26">
        <w:tc>
          <w:tcPr>
            <w:tcW w:w="562" w:type="dxa"/>
            <w:shd w:val="clear" w:color="auto" w:fill="E7E6E6" w:themeFill="background2"/>
          </w:tcPr>
          <w:p w14:paraId="7B928449"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3EE9DBF5" w14:textId="77777777" w:rsidR="0036588E" w:rsidRPr="00E93010" w:rsidRDefault="0036588E" w:rsidP="00324A26">
            <w:pPr>
              <w:pStyle w:val="TableParagraph"/>
              <w:ind w:left="100"/>
              <w:rPr>
                <w:sz w:val="16"/>
                <w:szCs w:val="16"/>
                <w:lang w:val="da-DK"/>
              </w:rPr>
            </w:pPr>
            <w:r w:rsidRPr="00E93010">
              <w:rPr>
                <w:sz w:val="16"/>
                <w:szCs w:val="16"/>
                <w:lang w:val="da-DK"/>
              </w:rPr>
              <w:t xml:space="preserve">Før § 295 indsættes som ny </w:t>
            </w:r>
            <w:r w:rsidRPr="00E93010">
              <w:rPr>
                <w:i/>
                <w:sz w:val="16"/>
                <w:szCs w:val="16"/>
                <w:lang w:val="da-DK"/>
              </w:rPr>
              <w:t>overskrift</w:t>
            </w:r>
            <w:r w:rsidRPr="00E93010">
              <w:rPr>
                <w:sz w:val="16"/>
                <w:szCs w:val="16"/>
                <w:lang w:val="da-DK"/>
              </w:rPr>
              <w:t>:</w:t>
            </w:r>
          </w:p>
          <w:p w14:paraId="2CA80E29" w14:textId="77777777" w:rsidR="0036588E" w:rsidRDefault="0036588E" w:rsidP="00324A26">
            <w:pPr>
              <w:rPr>
                <w:rFonts w:ascii="Georgia" w:hAnsi="Georgia"/>
                <w:i/>
                <w:sz w:val="16"/>
                <w:szCs w:val="16"/>
              </w:rPr>
            </w:pPr>
            <w:r w:rsidRPr="00E93010">
              <w:rPr>
                <w:rFonts w:ascii="Georgia" w:hAnsi="Georgia"/>
                <w:i/>
                <w:sz w:val="16"/>
                <w:szCs w:val="16"/>
              </w:rPr>
              <w:t>»Bygningsautomatik«</w:t>
            </w:r>
          </w:p>
          <w:p w14:paraId="463411A9"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56966745" w14:textId="77777777" w:rsidR="0036588E" w:rsidRPr="00E93010" w:rsidRDefault="0036588E" w:rsidP="00324A26">
            <w:pPr>
              <w:rPr>
                <w:rFonts w:ascii="Georgia" w:hAnsi="Georgia"/>
                <w:sz w:val="16"/>
                <w:szCs w:val="16"/>
              </w:rPr>
            </w:pPr>
          </w:p>
        </w:tc>
        <w:tc>
          <w:tcPr>
            <w:tcW w:w="3815" w:type="dxa"/>
          </w:tcPr>
          <w:p w14:paraId="6304AAF7" w14:textId="77777777" w:rsidR="0036588E" w:rsidRPr="00E93010" w:rsidRDefault="0036588E" w:rsidP="00324A26">
            <w:pPr>
              <w:rPr>
                <w:rFonts w:ascii="Georgia" w:hAnsi="Georgia"/>
                <w:sz w:val="16"/>
                <w:szCs w:val="16"/>
              </w:rPr>
            </w:pPr>
          </w:p>
        </w:tc>
        <w:tc>
          <w:tcPr>
            <w:tcW w:w="2989" w:type="dxa"/>
          </w:tcPr>
          <w:p w14:paraId="451FAAF5" w14:textId="77777777" w:rsidR="0036588E" w:rsidRPr="00E93010" w:rsidRDefault="0036588E" w:rsidP="00324A26">
            <w:pPr>
              <w:rPr>
                <w:rFonts w:ascii="Georgia" w:hAnsi="Georgia"/>
                <w:sz w:val="16"/>
                <w:szCs w:val="16"/>
              </w:rPr>
            </w:pPr>
          </w:p>
        </w:tc>
      </w:tr>
      <w:tr w:rsidR="0036588E" w:rsidRPr="00E93010" w14:paraId="7A8D36AE" w14:textId="77777777" w:rsidTr="00324A26">
        <w:tc>
          <w:tcPr>
            <w:tcW w:w="562" w:type="dxa"/>
            <w:shd w:val="clear" w:color="auto" w:fill="E7E6E6" w:themeFill="background2"/>
          </w:tcPr>
          <w:p w14:paraId="56347FE3"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371B0859" w14:textId="77777777" w:rsidR="0036588E" w:rsidRPr="00E93010" w:rsidRDefault="0036588E" w:rsidP="00324A26">
            <w:pPr>
              <w:pStyle w:val="TableParagraph"/>
              <w:ind w:left="100"/>
              <w:rPr>
                <w:sz w:val="16"/>
                <w:szCs w:val="16"/>
                <w:lang w:val="da-DK"/>
              </w:rPr>
            </w:pPr>
            <w:r w:rsidRPr="00E93010">
              <w:rPr>
                <w:sz w:val="16"/>
                <w:szCs w:val="16"/>
                <w:lang w:val="da-DK"/>
              </w:rPr>
              <w:t xml:space="preserve">§ </w:t>
            </w:r>
            <w:r w:rsidRPr="00E93010">
              <w:rPr>
                <w:i/>
                <w:sz w:val="16"/>
                <w:szCs w:val="16"/>
                <w:lang w:val="da-DK"/>
              </w:rPr>
              <w:t xml:space="preserve">295 </w:t>
            </w:r>
            <w:r w:rsidRPr="00E93010">
              <w:rPr>
                <w:sz w:val="16"/>
                <w:szCs w:val="16"/>
                <w:lang w:val="da-DK"/>
              </w:rPr>
              <w:t>affattes således:</w:t>
            </w:r>
          </w:p>
          <w:p w14:paraId="231C12DA" w14:textId="77777777" w:rsidR="0036588E" w:rsidRDefault="0036588E" w:rsidP="00324A26">
            <w:pPr>
              <w:pStyle w:val="TableParagraph"/>
              <w:spacing w:before="51"/>
              <w:ind w:left="100" w:right="583"/>
              <w:rPr>
                <w:sz w:val="16"/>
                <w:szCs w:val="16"/>
                <w:lang w:val="da-DK"/>
              </w:rPr>
            </w:pPr>
            <w:r w:rsidRPr="00E93010">
              <w:rPr>
                <w:sz w:val="16"/>
                <w:szCs w:val="16"/>
                <w:lang w:val="da-DK"/>
              </w:rPr>
              <w:t>»</w:t>
            </w:r>
            <w:r w:rsidRPr="00E93010">
              <w:rPr>
                <w:b/>
                <w:sz w:val="16"/>
                <w:szCs w:val="16"/>
                <w:lang w:val="da-DK"/>
              </w:rPr>
              <w:t xml:space="preserve">§ 295. </w:t>
            </w:r>
            <w:r w:rsidRPr="00E93010">
              <w:rPr>
                <w:sz w:val="16"/>
                <w:szCs w:val="16"/>
                <w:lang w:val="da-DK"/>
              </w:rPr>
              <w:t>I nye bygninger omfattet af § 260 med et dimensionerende varmebehov eller kølebehov over 290 kW skal der installeres bygningsautomatik til styring af de tekniske anlæg.</w:t>
            </w:r>
          </w:p>
          <w:p w14:paraId="070C0AD8" w14:textId="77777777" w:rsidR="0036588E" w:rsidRPr="00E93010" w:rsidRDefault="0036588E" w:rsidP="00324A26">
            <w:pPr>
              <w:pStyle w:val="TableParagraph"/>
              <w:spacing w:before="51"/>
              <w:ind w:left="100" w:right="583"/>
              <w:rPr>
                <w:sz w:val="16"/>
                <w:szCs w:val="16"/>
                <w:lang w:val="da-DK"/>
              </w:rPr>
            </w:pPr>
          </w:p>
          <w:p w14:paraId="7408A52E" w14:textId="77777777" w:rsidR="0036588E" w:rsidRDefault="0036588E" w:rsidP="00324A26">
            <w:pPr>
              <w:pStyle w:val="TableParagraph"/>
              <w:ind w:left="100" w:firstLine="144"/>
              <w:rPr>
                <w:sz w:val="16"/>
                <w:szCs w:val="16"/>
                <w:lang w:val="da-DK"/>
              </w:rPr>
            </w:pPr>
            <w:r w:rsidRPr="00E93010">
              <w:rPr>
                <w:i/>
                <w:sz w:val="16"/>
                <w:szCs w:val="16"/>
                <w:lang w:val="da-DK"/>
              </w:rPr>
              <w:t>Stk. 2</w:t>
            </w:r>
            <w:r w:rsidRPr="00E93010">
              <w:rPr>
                <w:sz w:val="16"/>
                <w:szCs w:val="16"/>
                <w:lang w:val="da-DK"/>
              </w:rPr>
              <w:t>. I eksisterende bygninger omfattet af § 260 med et dimensionerende varmebehov eller kølebehov over 290 kW skal der installeres bygningsautomatik til styring af de tekniske anlæg, hvis det er teknisk gennemførligt og rentabelt, jf. § 275. Installationen skal være gennemført inden udgangen af 2025.</w:t>
            </w:r>
          </w:p>
          <w:p w14:paraId="0AB5D611" w14:textId="77777777" w:rsidR="0036588E" w:rsidRPr="00E93010" w:rsidRDefault="0036588E" w:rsidP="00324A26">
            <w:pPr>
              <w:pStyle w:val="TableParagraph"/>
              <w:ind w:left="100" w:firstLine="144"/>
              <w:rPr>
                <w:sz w:val="16"/>
                <w:szCs w:val="16"/>
                <w:lang w:val="da-DK"/>
              </w:rPr>
            </w:pPr>
          </w:p>
          <w:p w14:paraId="7CE2037E" w14:textId="77777777" w:rsidR="0036588E" w:rsidRPr="00E93010" w:rsidRDefault="0036588E" w:rsidP="00324A26">
            <w:pPr>
              <w:pStyle w:val="TableParagraph"/>
              <w:ind w:left="100" w:right="230" w:firstLine="144"/>
              <w:jc w:val="both"/>
              <w:rPr>
                <w:sz w:val="16"/>
                <w:szCs w:val="16"/>
              </w:rPr>
            </w:pPr>
            <w:r w:rsidRPr="00E93010">
              <w:rPr>
                <w:i/>
                <w:sz w:val="16"/>
                <w:szCs w:val="16"/>
                <w:lang w:val="da-DK"/>
              </w:rPr>
              <w:t>Stk. 3</w:t>
            </w:r>
            <w:r w:rsidRPr="00E93010">
              <w:rPr>
                <w:sz w:val="16"/>
                <w:szCs w:val="16"/>
                <w:lang w:val="da-DK"/>
              </w:rPr>
              <w:t xml:space="preserve">. Bygningsautomatik efter § 295 og § 296 udgøres af det samlede system, der benyttes til at regulere og styre de tekniske anlæg. </w:t>
            </w:r>
            <w:proofErr w:type="spellStart"/>
            <w:r w:rsidRPr="00E93010">
              <w:rPr>
                <w:sz w:val="16"/>
                <w:szCs w:val="16"/>
              </w:rPr>
              <w:t>Systemet</w:t>
            </w:r>
            <w:proofErr w:type="spellEnd"/>
            <w:r w:rsidRPr="00E93010">
              <w:rPr>
                <w:sz w:val="16"/>
                <w:szCs w:val="16"/>
              </w:rPr>
              <w:t xml:space="preserve"> </w:t>
            </w:r>
            <w:proofErr w:type="spellStart"/>
            <w:r w:rsidRPr="00E93010">
              <w:rPr>
                <w:sz w:val="16"/>
                <w:szCs w:val="16"/>
              </w:rPr>
              <w:t>skal</w:t>
            </w:r>
            <w:proofErr w:type="spellEnd"/>
            <w:r w:rsidRPr="00E93010">
              <w:rPr>
                <w:sz w:val="16"/>
                <w:szCs w:val="16"/>
              </w:rPr>
              <w:t xml:space="preserve"> </w:t>
            </w:r>
            <w:proofErr w:type="spellStart"/>
            <w:r w:rsidRPr="00E93010">
              <w:rPr>
                <w:sz w:val="16"/>
                <w:szCs w:val="16"/>
              </w:rPr>
              <w:t>være</w:t>
            </w:r>
            <w:proofErr w:type="spellEnd"/>
            <w:r w:rsidRPr="00E93010">
              <w:rPr>
                <w:sz w:val="16"/>
                <w:szCs w:val="16"/>
              </w:rPr>
              <w:t xml:space="preserve"> </w:t>
            </w:r>
            <w:proofErr w:type="spellStart"/>
            <w:r w:rsidRPr="00E93010">
              <w:rPr>
                <w:sz w:val="16"/>
                <w:szCs w:val="16"/>
              </w:rPr>
              <w:t>i</w:t>
            </w:r>
            <w:proofErr w:type="spellEnd"/>
            <w:r w:rsidRPr="00E93010">
              <w:rPr>
                <w:sz w:val="16"/>
                <w:szCs w:val="16"/>
              </w:rPr>
              <w:t xml:space="preserve"> stand </w:t>
            </w:r>
            <w:proofErr w:type="spellStart"/>
            <w:r w:rsidRPr="00E93010">
              <w:rPr>
                <w:sz w:val="16"/>
                <w:szCs w:val="16"/>
              </w:rPr>
              <w:t>til</w:t>
            </w:r>
            <w:proofErr w:type="spellEnd"/>
            <w:r w:rsidRPr="00E93010">
              <w:rPr>
                <w:sz w:val="16"/>
                <w:szCs w:val="16"/>
              </w:rPr>
              <w:t>:</w:t>
            </w:r>
          </w:p>
          <w:p w14:paraId="05ACF742" w14:textId="77777777" w:rsidR="0036588E" w:rsidRPr="00E93010" w:rsidRDefault="0036588E" w:rsidP="00324A26">
            <w:pPr>
              <w:pStyle w:val="TableParagraph"/>
              <w:numPr>
                <w:ilvl w:val="0"/>
                <w:numId w:val="2"/>
              </w:numPr>
              <w:tabs>
                <w:tab w:val="left" w:pos="310"/>
              </w:tabs>
              <w:ind w:firstLine="0"/>
              <w:rPr>
                <w:sz w:val="16"/>
                <w:szCs w:val="16"/>
                <w:lang w:val="da-DK"/>
              </w:rPr>
            </w:pPr>
            <w:r w:rsidRPr="00E93010">
              <w:rPr>
                <w:sz w:val="16"/>
                <w:szCs w:val="16"/>
                <w:lang w:val="da-DK"/>
              </w:rPr>
              <w:t>løbende at overvåge og analysere</w:t>
            </w:r>
            <w:r w:rsidRPr="00E93010">
              <w:rPr>
                <w:spacing w:val="-20"/>
                <w:sz w:val="16"/>
                <w:szCs w:val="16"/>
                <w:lang w:val="da-DK"/>
              </w:rPr>
              <w:t xml:space="preserve"> </w:t>
            </w:r>
            <w:r w:rsidRPr="00E93010">
              <w:rPr>
                <w:sz w:val="16"/>
                <w:szCs w:val="16"/>
                <w:lang w:val="da-DK"/>
              </w:rPr>
              <w:t>energiforbruget,</w:t>
            </w:r>
          </w:p>
          <w:p w14:paraId="57964377" w14:textId="77777777" w:rsidR="0036588E" w:rsidRPr="00E93010" w:rsidRDefault="0036588E" w:rsidP="00324A26">
            <w:pPr>
              <w:pStyle w:val="TableParagraph"/>
              <w:numPr>
                <w:ilvl w:val="0"/>
                <w:numId w:val="2"/>
              </w:numPr>
              <w:tabs>
                <w:tab w:val="left" w:pos="334"/>
              </w:tabs>
              <w:spacing w:before="51"/>
              <w:ind w:right="695" w:firstLine="0"/>
              <w:rPr>
                <w:sz w:val="16"/>
                <w:szCs w:val="16"/>
                <w:lang w:val="da-DK"/>
              </w:rPr>
            </w:pPr>
            <w:r w:rsidRPr="00E93010">
              <w:rPr>
                <w:sz w:val="16"/>
                <w:szCs w:val="16"/>
                <w:lang w:val="da-DK"/>
              </w:rPr>
              <w:t>at kommunikere med de tekniske anlæg og regulere disse anlæg energieffektivt efter behovet i</w:t>
            </w:r>
            <w:r w:rsidRPr="00E93010">
              <w:rPr>
                <w:spacing w:val="-22"/>
                <w:sz w:val="16"/>
                <w:szCs w:val="16"/>
                <w:lang w:val="da-DK"/>
              </w:rPr>
              <w:t xml:space="preserve"> </w:t>
            </w:r>
            <w:r w:rsidRPr="00E93010">
              <w:rPr>
                <w:sz w:val="16"/>
                <w:szCs w:val="16"/>
                <w:lang w:val="da-DK"/>
              </w:rPr>
              <w:t>bygningen,</w:t>
            </w:r>
          </w:p>
          <w:p w14:paraId="3AA717AE" w14:textId="77777777" w:rsidR="0036588E" w:rsidRDefault="0036588E" w:rsidP="00324A26">
            <w:pPr>
              <w:pStyle w:val="TableParagraph"/>
              <w:numPr>
                <w:ilvl w:val="0"/>
                <w:numId w:val="2"/>
              </w:numPr>
              <w:tabs>
                <w:tab w:val="left" w:pos="334"/>
              </w:tabs>
              <w:spacing w:before="3"/>
              <w:ind w:right="522" w:firstLine="0"/>
              <w:rPr>
                <w:sz w:val="16"/>
                <w:szCs w:val="16"/>
                <w:lang w:val="da-DK"/>
              </w:rPr>
            </w:pPr>
            <w:r w:rsidRPr="00E93010">
              <w:rPr>
                <w:sz w:val="16"/>
                <w:szCs w:val="16"/>
                <w:lang w:val="da-DK"/>
              </w:rPr>
              <w:t>at kunne udtrykke den energimæssige effektivitet af bygningen og dens tekniske anlæg,</w:t>
            </w:r>
            <w:r w:rsidRPr="00E93010">
              <w:rPr>
                <w:spacing w:val="-12"/>
                <w:sz w:val="16"/>
                <w:szCs w:val="16"/>
                <w:lang w:val="da-DK"/>
              </w:rPr>
              <w:t xml:space="preserve"> </w:t>
            </w:r>
            <w:r w:rsidRPr="00E93010">
              <w:rPr>
                <w:sz w:val="16"/>
                <w:szCs w:val="16"/>
                <w:lang w:val="da-DK"/>
              </w:rPr>
              <w:t>og</w:t>
            </w:r>
            <w:r>
              <w:rPr>
                <w:sz w:val="16"/>
                <w:szCs w:val="16"/>
                <w:lang w:val="da-DK"/>
              </w:rPr>
              <w:t xml:space="preserve"> </w:t>
            </w:r>
            <w:r w:rsidRPr="00E93010">
              <w:rPr>
                <w:sz w:val="16"/>
                <w:szCs w:val="16"/>
                <w:lang w:val="da-DK"/>
              </w:rPr>
              <w:t>detektere fejl i anlæggene og underrette driftspersonalet om</w:t>
            </w:r>
            <w:r w:rsidRPr="00E93010">
              <w:rPr>
                <w:spacing w:val="-30"/>
                <w:sz w:val="16"/>
                <w:szCs w:val="16"/>
                <w:lang w:val="da-DK"/>
              </w:rPr>
              <w:t xml:space="preserve"> </w:t>
            </w:r>
            <w:r w:rsidRPr="00E93010">
              <w:rPr>
                <w:sz w:val="16"/>
                <w:szCs w:val="16"/>
                <w:lang w:val="da-DK"/>
              </w:rPr>
              <w:t>fejlene.«</w:t>
            </w:r>
          </w:p>
          <w:p w14:paraId="374433D2" w14:textId="77777777" w:rsidR="0036588E" w:rsidRPr="0075094D" w:rsidRDefault="0036588E" w:rsidP="00324A26">
            <w:pPr>
              <w:pStyle w:val="TableParagraph"/>
              <w:numPr>
                <w:ilvl w:val="0"/>
                <w:numId w:val="2"/>
              </w:numPr>
              <w:tabs>
                <w:tab w:val="left" w:pos="334"/>
              </w:tabs>
              <w:spacing w:before="3"/>
              <w:ind w:right="522" w:firstLine="0"/>
              <w:rPr>
                <w:sz w:val="16"/>
                <w:szCs w:val="16"/>
                <w:lang w:val="da-DK"/>
              </w:rPr>
            </w:pPr>
          </w:p>
        </w:tc>
        <w:tc>
          <w:tcPr>
            <w:tcW w:w="4536" w:type="dxa"/>
            <w:shd w:val="clear" w:color="auto" w:fill="E7E6E6" w:themeFill="background2"/>
          </w:tcPr>
          <w:p w14:paraId="4E84CF50" w14:textId="77777777" w:rsidR="0036588E" w:rsidRPr="00E93010" w:rsidRDefault="0036588E" w:rsidP="00324A26">
            <w:pPr>
              <w:rPr>
                <w:rFonts w:ascii="Georgia" w:hAnsi="Georgia"/>
                <w:sz w:val="16"/>
                <w:szCs w:val="16"/>
              </w:rPr>
            </w:pPr>
          </w:p>
        </w:tc>
        <w:tc>
          <w:tcPr>
            <w:tcW w:w="3815" w:type="dxa"/>
          </w:tcPr>
          <w:p w14:paraId="5812099A" w14:textId="77777777" w:rsidR="0036588E" w:rsidRPr="00E93010" w:rsidRDefault="0036588E" w:rsidP="00324A26">
            <w:pPr>
              <w:rPr>
                <w:rFonts w:ascii="Georgia" w:hAnsi="Georgia"/>
                <w:sz w:val="16"/>
                <w:szCs w:val="16"/>
              </w:rPr>
            </w:pPr>
          </w:p>
        </w:tc>
        <w:tc>
          <w:tcPr>
            <w:tcW w:w="2989" w:type="dxa"/>
          </w:tcPr>
          <w:p w14:paraId="4707351B" w14:textId="77777777" w:rsidR="0036588E" w:rsidRPr="00E93010" w:rsidRDefault="0036588E" w:rsidP="00324A26">
            <w:pPr>
              <w:rPr>
                <w:rFonts w:ascii="Georgia" w:hAnsi="Georgia"/>
                <w:sz w:val="16"/>
                <w:szCs w:val="16"/>
              </w:rPr>
            </w:pPr>
          </w:p>
        </w:tc>
      </w:tr>
      <w:tr w:rsidR="0036588E" w:rsidRPr="00E93010" w14:paraId="00CA3B90" w14:textId="77777777" w:rsidTr="00324A26">
        <w:tc>
          <w:tcPr>
            <w:tcW w:w="562" w:type="dxa"/>
            <w:shd w:val="clear" w:color="auto" w:fill="E7E6E6" w:themeFill="background2"/>
          </w:tcPr>
          <w:p w14:paraId="1677A44E"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06E6F7D1" w14:textId="77777777" w:rsidR="0036588E" w:rsidRPr="00E93010" w:rsidRDefault="0036588E" w:rsidP="00324A26">
            <w:pPr>
              <w:pStyle w:val="TableParagraph"/>
              <w:ind w:left="100"/>
              <w:rPr>
                <w:sz w:val="16"/>
                <w:szCs w:val="16"/>
                <w:lang w:val="da-DK"/>
              </w:rPr>
            </w:pPr>
            <w:r w:rsidRPr="00E93010">
              <w:rPr>
                <w:sz w:val="16"/>
                <w:szCs w:val="16"/>
                <w:lang w:val="da-DK"/>
              </w:rPr>
              <w:t xml:space="preserve">§ </w:t>
            </w:r>
            <w:r w:rsidRPr="00E93010">
              <w:rPr>
                <w:i/>
                <w:sz w:val="16"/>
                <w:szCs w:val="16"/>
                <w:lang w:val="da-DK"/>
              </w:rPr>
              <w:t xml:space="preserve">296 </w:t>
            </w:r>
            <w:r w:rsidRPr="00E93010">
              <w:rPr>
                <w:sz w:val="16"/>
                <w:szCs w:val="16"/>
                <w:lang w:val="da-DK"/>
              </w:rPr>
              <w:t>affattes således:</w:t>
            </w:r>
          </w:p>
          <w:p w14:paraId="65BDB83B" w14:textId="77777777" w:rsidR="0036588E" w:rsidRDefault="0036588E" w:rsidP="00324A26">
            <w:pPr>
              <w:rPr>
                <w:rFonts w:ascii="Georgia" w:hAnsi="Georgia"/>
                <w:sz w:val="16"/>
                <w:szCs w:val="16"/>
              </w:rPr>
            </w:pPr>
            <w:r w:rsidRPr="00E93010">
              <w:rPr>
                <w:rFonts w:ascii="Georgia" w:hAnsi="Georgia"/>
                <w:sz w:val="16"/>
                <w:szCs w:val="16"/>
              </w:rPr>
              <w:t>»</w:t>
            </w:r>
            <w:r w:rsidRPr="00E93010">
              <w:rPr>
                <w:rFonts w:ascii="Georgia" w:hAnsi="Georgia"/>
                <w:b/>
                <w:sz w:val="16"/>
                <w:szCs w:val="16"/>
              </w:rPr>
              <w:t xml:space="preserve">§ 296. </w:t>
            </w:r>
            <w:r w:rsidRPr="00E93010">
              <w:rPr>
                <w:rFonts w:ascii="Georgia" w:hAnsi="Georgia"/>
                <w:sz w:val="16"/>
                <w:szCs w:val="16"/>
              </w:rPr>
              <w:t>Der skal gennemføres en funktionsafprøvning af bygningsautomatik inden ibrugtagning. Funktionsafprøvningen skal påvise, at bygningsautomatikken er korrekt installeret og reguleret, virker efter hensigten og giver bygningen den forudsatte energimæssige effektivitet.«</w:t>
            </w:r>
          </w:p>
          <w:p w14:paraId="3A51AF30"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6ABA92A9" w14:textId="77777777" w:rsidR="0036588E" w:rsidRPr="00E93010" w:rsidRDefault="0036588E" w:rsidP="00324A26">
            <w:pPr>
              <w:rPr>
                <w:rFonts w:ascii="Georgia" w:hAnsi="Georgia"/>
                <w:sz w:val="16"/>
                <w:szCs w:val="16"/>
              </w:rPr>
            </w:pPr>
          </w:p>
        </w:tc>
        <w:tc>
          <w:tcPr>
            <w:tcW w:w="3815" w:type="dxa"/>
          </w:tcPr>
          <w:p w14:paraId="12994F83" w14:textId="77777777" w:rsidR="0036588E" w:rsidRPr="00E93010" w:rsidRDefault="0036588E" w:rsidP="00324A26">
            <w:pPr>
              <w:rPr>
                <w:rFonts w:ascii="Georgia" w:hAnsi="Georgia"/>
                <w:sz w:val="16"/>
                <w:szCs w:val="16"/>
              </w:rPr>
            </w:pPr>
          </w:p>
        </w:tc>
        <w:tc>
          <w:tcPr>
            <w:tcW w:w="2989" w:type="dxa"/>
          </w:tcPr>
          <w:p w14:paraId="1E8C2092" w14:textId="77777777" w:rsidR="0036588E" w:rsidRPr="00E93010" w:rsidRDefault="0036588E" w:rsidP="00324A26">
            <w:pPr>
              <w:rPr>
                <w:rFonts w:ascii="Georgia" w:hAnsi="Georgia"/>
                <w:sz w:val="16"/>
                <w:szCs w:val="16"/>
              </w:rPr>
            </w:pPr>
          </w:p>
        </w:tc>
      </w:tr>
      <w:tr w:rsidR="0036588E" w:rsidRPr="00E93010" w14:paraId="43B55CED" w14:textId="77777777" w:rsidTr="00324A26">
        <w:tc>
          <w:tcPr>
            <w:tcW w:w="562" w:type="dxa"/>
            <w:shd w:val="clear" w:color="auto" w:fill="E7E6E6" w:themeFill="background2"/>
          </w:tcPr>
          <w:p w14:paraId="695BB177"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7DB41E3C" w14:textId="77777777" w:rsidR="0036588E" w:rsidRPr="00E93010" w:rsidRDefault="0036588E" w:rsidP="00324A26">
            <w:pPr>
              <w:pStyle w:val="TableParagraph"/>
              <w:ind w:left="100"/>
              <w:rPr>
                <w:sz w:val="16"/>
                <w:szCs w:val="16"/>
                <w:lang w:val="da-DK"/>
              </w:rPr>
            </w:pPr>
            <w:r w:rsidRPr="00E93010">
              <w:rPr>
                <w:sz w:val="16"/>
                <w:szCs w:val="16"/>
                <w:lang w:val="da-DK"/>
              </w:rPr>
              <w:t xml:space="preserve">Før § 297 indsættes som ny </w:t>
            </w:r>
            <w:r w:rsidRPr="00E93010">
              <w:rPr>
                <w:i/>
                <w:sz w:val="16"/>
                <w:szCs w:val="16"/>
                <w:lang w:val="da-DK"/>
              </w:rPr>
              <w:t>overskrift</w:t>
            </w:r>
            <w:r w:rsidRPr="00E93010">
              <w:rPr>
                <w:sz w:val="16"/>
                <w:szCs w:val="16"/>
                <w:lang w:val="da-DK"/>
              </w:rPr>
              <w:t>:</w:t>
            </w:r>
          </w:p>
          <w:p w14:paraId="01F8E0B5" w14:textId="77777777" w:rsidR="0036588E" w:rsidRDefault="0036588E" w:rsidP="00324A26">
            <w:pPr>
              <w:rPr>
                <w:rFonts w:ascii="Georgia" w:hAnsi="Georgia"/>
                <w:i/>
                <w:sz w:val="16"/>
                <w:szCs w:val="16"/>
              </w:rPr>
            </w:pPr>
            <w:r w:rsidRPr="00E93010">
              <w:rPr>
                <w:rFonts w:ascii="Georgia" w:hAnsi="Georgia"/>
                <w:i/>
                <w:sz w:val="16"/>
                <w:szCs w:val="16"/>
              </w:rPr>
              <w:t>»Klimapåvirkning«</w:t>
            </w:r>
          </w:p>
          <w:p w14:paraId="43D12B70"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4A7C3D8F" w14:textId="77777777" w:rsidR="0036588E" w:rsidRPr="00E93010" w:rsidRDefault="0036588E" w:rsidP="00324A26">
            <w:pPr>
              <w:rPr>
                <w:rFonts w:ascii="Georgia" w:hAnsi="Georgia"/>
                <w:sz w:val="16"/>
                <w:szCs w:val="16"/>
              </w:rPr>
            </w:pPr>
          </w:p>
        </w:tc>
        <w:tc>
          <w:tcPr>
            <w:tcW w:w="3815" w:type="dxa"/>
          </w:tcPr>
          <w:p w14:paraId="1B526793" w14:textId="77777777" w:rsidR="0036588E" w:rsidRPr="00E93010" w:rsidRDefault="0036588E" w:rsidP="00324A26">
            <w:pPr>
              <w:rPr>
                <w:rFonts w:ascii="Georgia" w:hAnsi="Georgia"/>
                <w:sz w:val="16"/>
                <w:szCs w:val="16"/>
              </w:rPr>
            </w:pPr>
          </w:p>
        </w:tc>
        <w:tc>
          <w:tcPr>
            <w:tcW w:w="2989" w:type="dxa"/>
          </w:tcPr>
          <w:p w14:paraId="435C36F6" w14:textId="77777777" w:rsidR="0036588E" w:rsidRPr="00E93010" w:rsidRDefault="0036588E" w:rsidP="00324A26">
            <w:pPr>
              <w:rPr>
                <w:rFonts w:ascii="Georgia" w:hAnsi="Georgia"/>
                <w:sz w:val="16"/>
                <w:szCs w:val="16"/>
              </w:rPr>
            </w:pPr>
          </w:p>
        </w:tc>
      </w:tr>
      <w:tr w:rsidR="0036588E" w:rsidRPr="00E93010" w14:paraId="31F13749" w14:textId="77777777" w:rsidTr="00324A26">
        <w:tc>
          <w:tcPr>
            <w:tcW w:w="562" w:type="dxa"/>
            <w:shd w:val="clear" w:color="auto" w:fill="E7E6E6" w:themeFill="background2"/>
          </w:tcPr>
          <w:p w14:paraId="1FBAB69C" w14:textId="77777777" w:rsidR="0036588E" w:rsidRPr="00E93010" w:rsidRDefault="0036588E" w:rsidP="00324A26">
            <w:pPr>
              <w:rPr>
                <w:rFonts w:ascii="Georgia" w:hAnsi="Georgia"/>
                <w:sz w:val="16"/>
                <w:szCs w:val="16"/>
              </w:rPr>
            </w:pPr>
            <w:r w:rsidRPr="00E93010">
              <w:rPr>
                <w:rFonts w:ascii="Georgia" w:hAnsi="Georgia"/>
                <w:b/>
                <w:sz w:val="16"/>
                <w:szCs w:val="16"/>
              </w:rPr>
              <w:t>10.</w:t>
            </w:r>
          </w:p>
        </w:tc>
        <w:tc>
          <w:tcPr>
            <w:tcW w:w="3544" w:type="dxa"/>
            <w:shd w:val="clear" w:color="auto" w:fill="E7E6E6" w:themeFill="background2"/>
          </w:tcPr>
          <w:p w14:paraId="58FC2F39" w14:textId="77777777" w:rsidR="0036588E" w:rsidRPr="00E93010" w:rsidRDefault="0036588E" w:rsidP="00324A26">
            <w:pPr>
              <w:pStyle w:val="TableParagraph"/>
              <w:ind w:left="100"/>
              <w:rPr>
                <w:sz w:val="16"/>
                <w:szCs w:val="16"/>
                <w:lang w:val="da-DK"/>
              </w:rPr>
            </w:pPr>
            <w:r w:rsidRPr="00E93010">
              <w:rPr>
                <w:sz w:val="16"/>
                <w:szCs w:val="16"/>
                <w:lang w:val="da-DK"/>
              </w:rPr>
              <w:t xml:space="preserve">§ </w:t>
            </w:r>
            <w:r w:rsidRPr="00E93010">
              <w:rPr>
                <w:i/>
                <w:sz w:val="16"/>
                <w:szCs w:val="16"/>
                <w:lang w:val="da-DK"/>
              </w:rPr>
              <w:t xml:space="preserve">297 </w:t>
            </w:r>
            <w:r w:rsidRPr="00E93010">
              <w:rPr>
                <w:sz w:val="16"/>
                <w:szCs w:val="16"/>
                <w:lang w:val="da-DK"/>
              </w:rPr>
              <w:t>affattes således:</w:t>
            </w:r>
          </w:p>
          <w:p w14:paraId="5DAC9285" w14:textId="77777777" w:rsidR="0036588E" w:rsidRPr="00E93010" w:rsidRDefault="0036588E" w:rsidP="00324A26">
            <w:pPr>
              <w:rPr>
                <w:rFonts w:ascii="Georgia" w:hAnsi="Georgia"/>
                <w:sz w:val="16"/>
                <w:szCs w:val="16"/>
              </w:rPr>
            </w:pPr>
            <w:r w:rsidRPr="00E93010">
              <w:rPr>
                <w:rFonts w:ascii="Georgia" w:hAnsi="Georgia"/>
                <w:sz w:val="16"/>
                <w:szCs w:val="16"/>
              </w:rPr>
              <w:t>»</w:t>
            </w:r>
            <w:r w:rsidRPr="00E93010">
              <w:rPr>
                <w:rFonts w:ascii="Georgia" w:hAnsi="Georgia"/>
                <w:b/>
                <w:sz w:val="16"/>
                <w:szCs w:val="16"/>
              </w:rPr>
              <w:t xml:space="preserve">§ 297. </w:t>
            </w:r>
            <w:r w:rsidRPr="00E93010">
              <w:rPr>
                <w:rFonts w:ascii="Georgia" w:hAnsi="Georgia"/>
                <w:sz w:val="16"/>
                <w:szCs w:val="16"/>
              </w:rPr>
              <w:t>Ved opførelsen af bygninger, som er omfattet af reglerne om energiramme i § 259 eller § 260, bortset fra byggeri undtaget efter § 251, stk. 2, skal der foretages en beregning af bygningens klimapåvirkning over dens livscyklus.</w:t>
            </w:r>
          </w:p>
        </w:tc>
        <w:tc>
          <w:tcPr>
            <w:tcW w:w="4536" w:type="dxa"/>
            <w:shd w:val="clear" w:color="auto" w:fill="E7E6E6" w:themeFill="background2"/>
          </w:tcPr>
          <w:p w14:paraId="407DD8F9" w14:textId="77777777" w:rsidR="0036588E" w:rsidRPr="00E93010" w:rsidRDefault="0036588E" w:rsidP="00324A26">
            <w:pPr>
              <w:pStyle w:val="TableParagraph"/>
              <w:ind w:right="420"/>
              <w:rPr>
                <w:sz w:val="16"/>
                <w:szCs w:val="16"/>
                <w:lang w:val="da-DK"/>
              </w:rPr>
            </w:pPr>
            <w:r w:rsidRPr="00E93010">
              <w:rPr>
                <w:sz w:val="16"/>
                <w:szCs w:val="16"/>
                <w:lang w:val="da-DK"/>
              </w:rPr>
              <w:t xml:space="preserve">Som en del af den politiske aftale om national strategi for bæredygtigt byggeri skal der fra 2023 og frem udmøntes krav i bygningsreglementet om </w:t>
            </w:r>
            <w:r w:rsidRPr="00E93010">
              <w:rPr>
                <w:position w:val="2"/>
                <w:sz w:val="16"/>
                <w:szCs w:val="16"/>
                <w:lang w:val="da-DK"/>
              </w:rPr>
              <w:t>livscyklusvurdering (</w:t>
            </w:r>
            <w:proofErr w:type="spellStart"/>
            <w:r w:rsidRPr="00E93010">
              <w:rPr>
                <w:position w:val="2"/>
                <w:sz w:val="16"/>
                <w:szCs w:val="16"/>
                <w:lang w:val="da-DK"/>
              </w:rPr>
              <w:t>LCA</w:t>
            </w:r>
            <w:proofErr w:type="spellEnd"/>
            <w:r w:rsidRPr="00E93010">
              <w:rPr>
                <w:position w:val="2"/>
                <w:sz w:val="16"/>
                <w:szCs w:val="16"/>
                <w:lang w:val="da-DK"/>
              </w:rPr>
              <w:t>) for bygninger samt krav om CO</w:t>
            </w:r>
            <w:r w:rsidRPr="00E93010">
              <w:rPr>
                <w:sz w:val="16"/>
                <w:szCs w:val="16"/>
                <w:lang w:val="da-DK"/>
              </w:rPr>
              <w:t>2</w:t>
            </w:r>
            <w:r w:rsidRPr="00E93010">
              <w:rPr>
                <w:position w:val="2"/>
                <w:sz w:val="16"/>
                <w:szCs w:val="16"/>
                <w:lang w:val="da-DK"/>
              </w:rPr>
              <w:t>-grænseværdi. Det vil sige krav om, hvor mange CO</w:t>
            </w:r>
            <w:r w:rsidRPr="00E93010">
              <w:rPr>
                <w:sz w:val="16"/>
                <w:szCs w:val="16"/>
                <w:lang w:val="da-DK"/>
              </w:rPr>
              <w:t>2</w:t>
            </w:r>
            <w:r w:rsidRPr="00E93010">
              <w:rPr>
                <w:position w:val="2"/>
                <w:sz w:val="16"/>
                <w:szCs w:val="16"/>
                <w:lang w:val="da-DK"/>
              </w:rPr>
              <w:t>-ækvivalenter (forskellige drivhusgasser bidrager med forskellig drivhusgaseffekt, som omregnes til CO</w:t>
            </w:r>
            <w:r w:rsidRPr="00E93010">
              <w:rPr>
                <w:sz w:val="16"/>
                <w:szCs w:val="16"/>
                <w:lang w:val="da-DK"/>
              </w:rPr>
              <w:t>2</w:t>
            </w:r>
            <w:r w:rsidRPr="00E93010">
              <w:rPr>
                <w:position w:val="2"/>
                <w:sz w:val="16"/>
                <w:szCs w:val="16"/>
                <w:lang w:val="da-DK"/>
              </w:rPr>
              <w:t>), en bygning må udlede.</w:t>
            </w:r>
          </w:p>
          <w:p w14:paraId="36F9AE6F" w14:textId="77777777" w:rsidR="0036588E" w:rsidRPr="00E93010" w:rsidRDefault="0036588E" w:rsidP="00324A26">
            <w:pPr>
              <w:pStyle w:val="TableParagraph"/>
              <w:spacing w:before="1"/>
              <w:ind w:left="0"/>
              <w:rPr>
                <w:sz w:val="16"/>
                <w:szCs w:val="16"/>
                <w:lang w:val="da-DK"/>
              </w:rPr>
            </w:pPr>
          </w:p>
          <w:p w14:paraId="23A5BA55" w14:textId="77777777" w:rsidR="0036588E" w:rsidRPr="00E93010" w:rsidRDefault="0036588E" w:rsidP="00324A26">
            <w:pPr>
              <w:pStyle w:val="TableParagraph"/>
              <w:ind w:right="420"/>
              <w:rPr>
                <w:sz w:val="16"/>
                <w:szCs w:val="16"/>
                <w:lang w:val="da-DK"/>
              </w:rPr>
            </w:pPr>
            <w:r w:rsidRPr="00E93010">
              <w:rPr>
                <w:position w:val="2"/>
                <w:sz w:val="16"/>
                <w:szCs w:val="16"/>
                <w:lang w:val="da-DK"/>
              </w:rPr>
              <w:t>Kravene indføres i bygningsreglementet i to nye paragraffer, hhv. § 297 hvad angår beregning af klimapåvirkning og § 298, hvad angår en CO</w:t>
            </w:r>
            <w:r w:rsidRPr="00E93010">
              <w:rPr>
                <w:sz w:val="16"/>
                <w:szCs w:val="16"/>
                <w:lang w:val="da-DK"/>
              </w:rPr>
              <w:t>2</w:t>
            </w:r>
            <w:r w:rsidRPr="00E93010">
              <w:rPr>
                <w:position w:val="2"/>
                <w:sz w:val="16"/>
                <w:szCs w:val="16"/>
                <w:lang w:val="da-DK"/>
              </w:rPr>
              <w:t xml:space="preserve">- </w:t>
            </w:r>
            <w:r w:rsidRPr="00E93010">
              <w:rPr>
                <w:sz w:val="16"/>
                <w:szCs w:val="16"/>
                <w:lang w:val="da-DK"/>
              </w:rPr>
              <w:t>grænseværdi for bygninger. Der udarbejdes endvidere en selvstændig vejledning hertil.</w:t>
            </w:r>
          </w:p>
          <w:p w14:paraId="27EA18D6" w14:textId="77777777" w:rsidR="0036588E" w:rsidRPr="00E93010" w:rsidRDefault="0036588E" w:rsidP="00324A26">
            <w:pPr>
              <w:pStyle w:val="TableParagraph"/>
              <w:spacing w:before="6"/>
              <w:ind w:left="0"/>
              <w:rPr>
                <w:sz w:val="16"/>
                <w:szCs w:val="16"/>
                <w:lang w:val="da-DK"/>
              </w:rPr>
            </w:pPr>
          </w:p>
          <w:p w14:paraId="5AC787EE" w14:textId="77777777" w:rsidR="0036588E" w:rsidRPr="00E93010" w:rsidRDefault="0036588E" w:rsidP="00324A26">
            <w:pPr>
              <w:pStyle w:val="TableParagraph"/>
              <w:spacing w:before="1"/>
              <w:ind w:right="91"/>
              <w:rPr>
                <w:sz w:val="16"/>
                <w:szCs w:val="16"/>
                <w:lang w:val="da-DK"/>
              </w:rPr>
            </w:pPr>
            <w:r w:rsidRPr="00E93010">
              <w:rPr>
                <w:sz w:val="16"/>
                <w:szCs w:val="16"/>
                <w:lang w:val="da-DK"/>
              </w:rPr>
              <w:t xml:space="preserve">De nye krav skal understøtte en branche, der søger at arbejde mere klimavenligt, og skal bidrage til reduktion af den samlede udledning fra byggeriet, </w:t>
            </w:r>
            <w:r w:rsidRPr="00E93010">
              <w:rPr>
                <w:position w:val="2"/>
                <w:sz w:val="16"/>
                <w:szCs w:val="16"/>
                <w:lang w:val="da-DK"/>
              </w:rPr>
              <w:t>og dermed bidrage til at reducere Danmarks udledning af CO</w:t>
            </w:r>
            <w:r w:rsidRPr="00E93010">
              <w:rPr>
                <w:sz w:val="16"/>
                <w:szCs w:val="16"/>
                <w:lang w:val="da-DK"/>
              </w:rPr>
              <w:t>2</w:t>
            </w:r>
            <w:r w:rsidRPr="00E93010">
              <w:rPr>
                <w:position w:val="2"/>
                <w:sz w:val="16"/>
                <w:szCs w:val="16"/>
                <w:lang w:val="da-DK"/>
              </w:rPr>
              <w:t>.</w:t>
            </w:r>
          </w:p>
          <w:p w14:paraId="33B6AC86" w14:textId="77777777" w:rsidR="0036588E" w:rsidRPr="00E93010" w:rsidRDefault="0036588E" w:rsidP="00324A26">
            <w:pPr>
              <w:pStyle w:val="TableParagraph"/>
              <w:spacing w:before="4"/>
              <w:ind w:left="0"/>
              <w:rPr>
                <w:sz w:val="16"/>
                <w:szCs w:val="16"/>
                <w:lang w:val="da-DK"/>
              </w:rPr>
            </w:pPr>
          </w:p>
          <w:p w14:paraId="02055C36" w14:textId="77777777" w:rsidR="0036588E" w:rsidRPr="00E93010" w:rsidRDefault="0036588E" w:rsidP="00324A26">
            <w:pPr>
              <w:pStyle w:val="TableParagraph"/>
              <w:ind w:right="499"/>
              <w:rPr>
                <w:sz w:val="16"/>
                <w:szCs w:val="16"/>
                <w:lang w:val="da-DK"/>
              </w:rPr>
            </w:pPr>
            <w:r w:rsidRPr="00E93010">
              <w:rPr>
                <w:sz w:val="16"/>
                <w:szCs w:val="16"/>
                <w:lang w:val="da-DK"/>
              </w:rPr>
              <w:t>Kravet om at beregne klimapåvirkningen har til formål at synliggøre bygningens klimapåvirkning i et livscyklusperspektiv fra produktion til endt levetid, i forhold til design, udformning og drift.</w:t>
            </w:r>
          </w:p>
          <w:p w14:paraId="22AF3AB1" w14:textId="77777777" w:rsidR="0036588E" w:rsidRPr="00E93010" w:rsidRDefault="0036588E" w:rsidP="00324A26">
            <w:pPr>
              <w:pStyle w:val="TableParagraph"/>
              <w:spacing w:before="6"/>
              <w:ind w:left="0"/>
              <w:rPr>
                <w:sz w:val="16"/>
                <w:szCs w:val="16"/>
                <w:lang w:val="da-DK"/>
              </w:rPr>
            </w:pPr>
          </w:p>
          <w:p w14:paraId="376B5F30" w14:textId="77777777" w:rsidR="0036588E" w:rsidRDefault="0036588E" w:rsidP="00324A26">
            <w:pPr>
              <w:pStyle w:val="TableParagraph"/>
              <w:spacing w:before="1"/>
              <w:rPr>
                <w:sz w:val="16"/>
                <w:szCs w:val="16"/>
                <w:lang w:val="da-DK"/>
              </w:rPr>
            </w:pPr>
            <w:r w:rsidRPr="00E93010">
              <w:rPr>
                <w:sz w:val="16"/>
                <w:szCs w:val="16"/>
                <w:lang w:val="da-DK"/>
              </w:rPr>
              <w:t>Kravet gælder for nybyggeri, som er omfattet af reglerne om energiramme ifølge § 259 og § 260.</w:t>
            </w:r>
          </w:p>
          <w:p w14:paraId="2D2F7879" w14:textId="77777777" w:rsidR="0036588E" w:rsidRDefault="0036588E" w:rsidP="00324A26">
            <w:pPr>
              <w:pStyle w:val="TableParagraph"/>
              <w:spacing w:before="1"/>
              <w:rPr>
                <w:sz w:val="16"/>
                <w:szCs w:val="16"/>
                <w:lang w:val="da-DK"/>
              </w:rPr>
            </w:pPr>
          </w:p>
          <w:p w14:paraId="112D911A" w14:textId="77777777" w:rsidR="0036588E" w:rsidRPr="00210ABC" w:rsidRDefault="0036588E" w:rsidP="00324A26">
            <w:pPr>
              <w:pStyle w:val="TableParagraph"/>
              <w:spacing w:before="1"/>
              <w:rPr>
                <w:sz w:val="16"/>
                <w:szCs w:val="16"/>
                <w:lang w:val="da-DK"/>
              </w:rPr>
            </w:pPr>
            <w:r w:rsidRPr="00E93010">
              <w:rPr>
                <w:sz w:val="16"/>
                <w:szCs w:val="16"/>
                <w:lang w:val="da-DK"/>
              </w:rPr>
              <w:t xml:space="preserve">Beregningen og forudsætningerne skal dokumenteres på byggesagen ved færdigmelding, jf. den eksisterende § 40. Dette uddybes nærmere i vejledningen om ”Dokumentation af bygningsreglementets tekniske bestemmelser i forbindelse med færdigmelding af byggeriet”. på </w:t>
            </w:r>
            <w:proofErr w:type="spellStart"/>
            <w:r w:rsidRPr="00E93010">
              <w:rPr>
                <w:sz w:val="16"/>
                <w:szCs w:val="16"/>
                <w:lang w:val="da-DK"/>
              </w:rPr>
              <w:t>bygningsreglementet.dk</w:t>
            </w:r>
            <w:proofErr w:type="spellEnd"/>
            <w:r w:rsidRPr="00E93010">
              <w:rPr>
                <w:sz w:val="16"/>
                <w:szCs w:val="16"/>
                <w:lang w:val="da-DK"/>
              </w:rPr>
              <w:t>.</w:t>
            </w:r>
          </w:p>
        </w:tc>
        <w:tc>
          <w:tcPr>
            <w:tcW w:w="3815" w:type="dxa"/>
          </w:tcPr>
          <w:p w14:paraId="1C244F71" w14:textId="77777777" w:rsidR="0036588E" w:rsidRPr="00E93010" w:rsidRDefault="0036588E" w:rsidP="00324A26">
            <w:pPr>
              <w:rPr>
                <w:rFonts w:ascii="Georgia" w:hAnsi="Georgia"/>
                <w:sz w:val="16"/>
                <w:szCs w:val="16"/>
              </w:rPr>
            </w:pPr>
          </w:p>
        </w:tc>
        <w:tc>
          <w:tcPr>
            <w:tcW w:w="2989" w:type="dxa"/>
          </w:tcPr>
          <w:p w14:paraId="38084FFC" w14:textId="77777777" w:rsidR="0036588E" w:rsidRPr="00E93010" w:rsidRDefault="0036588E" w:rsidP="00324A26">
            <w:pPr>
              <w:rPr>
                <w:rFonts w:ascii="Georgia" w:hAnsi="Georgia"/>
                <w:sz w:val="16"/>
                <w:szCs w:val="16"/>
              </w:rPr>
            </w:pPr>
          </w:p>
        </w:tc>
      </w:tr>
      <w:tr w:rsidR="0036588E" w:rsidRPr="00E93010" w14:paraId="636A425B" w14:textId="77777777" w:rsidTr="00324A26">
        <w:tc>
          <w:tcPr>
            <w:tcW w:w="562" w:type="dxa"/>
            <w:shd w:val="clear" w:color="auto" w:fill="E7E6E6" w:themeFill="background2"/>
          </w:tcPr>
          <w:p w14:paraId="0DE2C2F7"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4F5E303B" w14:textId="77777777" w:rsidR="0036588E" w:rsidRDefault="0036588E" w:rsidP="00324A26">
            <w:pPr>
              <w:pStyle w:val="TableParagraph"/>
              <w:ind w:left="100" w:right="167" w:firstLine="96"/>
              <w:rPr>
                <w:sz w:val="16"/>
                <w:szCs w:val="16"/>
              </w:rPr>
            </w:pPr>
            <w:r w:rsidRPr="00E93010">
              <w:rPr>
                <w:i/>
                <w:position w:val="2"/>
                <w:sz w:val="16"/>
                <w:szCs w:val="16"/>
                <w:lang w:val="da-DK"/>
              </w:rPr>
              <w:t xml:space="preserve">Stk. 2.  </w:t>
            </w:r>
            <w:r w:rsidRPr="00E93010">
              <w:rPr>
                <w:position w:val="2"/>
                <w:sz w:val="16"/>
                <w:szCs w:val="16"/>
                <w:lang w:val="da-DK"/>
              </w:rPr>
              <w:t>Klimapåvirkningen skal opgøres i kg</w:t>
            </w:r>
            <w:r>
              <w:rPr>
                <w:position w:val="2"/>
                <w:sz w:val="16"/>
                <w:szCs w:val="16"/>
                <w:lang w:val="da-DK"/>
              </w:rPr>
              <w:t xml:space="preserve"> </w:t>
            </w:r>
            <w:r w:rsidRPr="00E93010">
              <w:rPr>
                <w:position w:val="2"/>
                <w:sz w:val="16"/>
                <w:szCs w:val="16"/>
                <w:lang w:val="da-DK"/>
              </w:rPr>
              <w:t>CO</w:t>
            </w:r>
            <w:r w:rsidRPr="00E93010">
              <w:rPr>
                <w:sz w:val="16"/>
                <w:szCs w:val="16"/>
                <w:lang w:val="da-DK"/>
              </w:rPr>
              <w:t>2</w:t>
            </w:r>
            <w:r w:rsidRPr="00E93010">
              <w:rPr>
                <w:position w:val="2"/>
                <w:sz w:val="16"/>
                <w:szCs w:val="16"/>
                <w:lang w:val="da-DK"/>
              </w:rPr>
              <w:t>-ækvivalenter pr. m</w:t>
            </w:r>
            <w:r w:rsidRPr="00E93010">
              <w:rPr>
                <w:position w:val="7"/>
                <w:sz w:val="16"/>
                <w:szCs w:val="16"/>
                <w:lang w:val="da-DK"/>
              </w:rPr>
              <w:t xml:space="preserve">2 </w:t>
            </w:r>
            <w:r w:rsidRPr="00E93010">
              <w:rPr>
                <w:sz w:val="16"/>
                <w:szCs w:val="16"/>
                <w:lang w:val="da-DK"/>
              </w:rPr>
              <w:t>pr. år beregnet i henhold til DS/</w:t>
            </w:r>
            <w:proofErr w:type="spellStart"/>
            <w:r w:rsidRPr="00E93010">
              <w:rPr>
                <w:sz w:val="16"/>
                <w:szCs w:val="16"/>
                <w:lang w:val="da-DK"/>
              </w:rPr>
              <w:t>EN15978:2012</w:t>
            </w:r>
            <w:proofErr w:type="spellEnd"/>
            <w:r w:rsidRPr="00E93010">
              <w:rPr>
                <w:sz w:val="16"/>
                <w:szCs w:val="16"/>
                <w:lang w:val="da-DK"/>
              </w:rPr>
              <w:t xml:space="preserve"> Bæredygtighed inden for byggeri og anlæg - Vurdering af bygningers miljømæssige kvalitet - Beregningsmetode. Klimapåvirkningen opgøres for en betragtningsperiode på 50 år fra byggeriets færdigmelding. </w:t>
            </w:r>
            <w:r w:rsidRPr="00E93010">
              <w:rPr>
                <w:sz w:val="16"/>
                <w:szCs w:val="16"/>
              </w:rPr>
              <w:t xml:space="preserve">I </w:t>
            </w:r>
            <w:proofErr w:type="spellStart"/>
            <w:r w:rsidRPr="00E93010">
              <w:rPr>
                <w:sz w:val="16"/>
                <w:szCs w:val="16"/>
              </w:rPr>
              <w:t>beregningen</w:t>
            </w:r>
            <w:proofErr w:type="spellEnd"/>
            <w:r w:rsidRPr="00E93010">
              <w:rPr>
                <w:sz w:val="16"/>
                <w:szCs w:val="16"/>
              </w:rPr>
              <w:t xml:space="preserve"> </w:t>
            </w:r>
            <w:proofErr w:type="spellStart"/>
            <w:r w:rsidRPr="00E93010">
              <w:rPr>
                <w:sz w:val="16"/>
                <w:szCs w:val="16"/>
              </w:rPr>
              <w:t>indgår</w:t>
            </w:r>
            <w:proofErr w:type="spellEnd"/>
            <w:r w:rsidRPr="00E93010">
              <w:rPr>
                <w:sz w:val="16"/>
                <w:szCs w:val="16"/>
              </w:rPr>
              <w:t xml:space="preserve"> </w:t>
            </w:r>
            <w:proofErr w:type="spellStart"/>
            <w:r w:rsidRPr="00E93010">
              <w:rPr>
                <w:sz w:val="16"/>
                <w:szCs w:val="16"/>
              </w:rPr>
              <w:t>modulerne</w:t>
            </w:r>
            <w:proofErr w:type="spellEnd"/>
            <w:r w:rsidRPr="00E93010">
              <w:rPr>
                <w:sz w:val="16"/>
                <w:szCs w:val="16"/>
              </w:rPr>
              <w:t>:</w:t>
            </w:r>
          </w:p>
          <w:p w14:paraId="6B6D319B" w14:textId="77777777" w:rsidR="0036588E" w:rsidRPr="00E93010" w:rsidRDefault="0036588E" w:rsidP="00324A26">
            <w:pPr>
              <w:pStyle w:val="TableParagraph"/>
              <w:ind w:left="100" w:right="167" w:firstLine="96"/>
              <w:rPr>
                <w:sz w:val="16"/>
                <w:szCs w:val="16"/>
              </w:rPr>
            </w:pPr>
          </w:p>
          <w:p w14:paraId="5714EFE8" w14:textId="77777777" w:rsidR="0036588E" w:rsidRPr="00E93010" w:rsidRDefault="0036588E" w:rsidP="00324A26">
            <w:pPr>
              <w:pStyle w:val="TableParagraph"/>
              <w:numPr>
                <w:ilvl w:val="0"/>
                <w:numId w:val="3"/>
              </w:numPr>
              <w:tabs>
                <w:tab w:val="left" w:pos="507"/>
              </w:tabs>
              <w:spacing w:before="1"/>
              <w:rPr>
                <w:sz w:val="16"/>
                <w:szCs w:val="16"/>
              </w:rPr>
            </w:pPr>
            <w:r w:rsidRPr="00E93010">
              <w:rPr>
                <w:sz w:val="16"/>
                <w:szCs w:val="16"/>
              </w:rPr>
              <w:t>A1:</w:t>
            </w:r>
            <w:r w:rsidRPr="00E93010">
              <w:rPr>
                <w:spacing w:val="-9"/>
                <w:sz w:val="16"/>
                <w:szCs w:val="16"/>
              </w:rPr>
              <w:t xml:space="preserve"> </w:t>
            </w:r>
            <w:proofErr w:type="spellStart"/>
            <w:r w:rsidRPr="00E93010">
              <w:rPr>
                <w:sz w:val="16"/>
                <w:szCs w:val="16"/>
              </w:rPr>
              <w:t>Råmaterialer</w:t>
            </w:r>
            <w:proofErr w:type="spellEnd"/>
          </w:p>
          <w:p w14:paraId="59448700" w14:textId="77777777" w:rsidR="0036588E" w:rsidRPr="00E93010" w:rsidRDefault="0036588E" w:rsidP="00324A26">
            <w:pPr>
              <w:pStyle w:val="TableParagraph"/>
              <w:numPr>
                <w:ilvl w:val="0"/>
                <w:numId w:val="3"/>
              </w:numPr>
              <w:tabs>
                <w:tab w:val="left" w:pos="507"/>
              </w:tabs>
              <w:spacing w:before="49"/>
              <w:rPr>
                <w:sz w:val="16"/>
                <w:szCs w:val="16"/>
              </w:rPr>
            </w:pPr>
            <w:proofErr w:type="spellStart"/>
            <w:r w:rsidRPr="00E93010">
              <w:rPr>
                <w:sz w:val="16"/>
                <w:szCs w:val="16"/>
              </w:rPr>
              <w:t>A2</w:t>
            </w:r>
            <w:proofErr w:type="spellEnd"/>
            <w:r w:rsidRPr="00E93010">
              <w:rPr>
                <w:sz w:val="16"/>
                <w:szCs w:val="16"/>
              </w:rPr>
              <w:t>:</w:t>
            </w:r>
            <w:r w:rsidRPr="00E93010">
              <w:rPr>
                <w:spacing w:val="-8"/>
                <w:sz w:val="16"/>
                <w:szCs w:val="16"/>
              </w:rPr>
              <w:t xml:space="preserve"> </w:t>
            </w:r>
            <w:r w:rsidRPr="00E93010">
              <w:rPr>
                <w:sz w:val="16"/>
                <w:szCs w:val="16"/>
              </w:rPr>
              <w:t>Transport</w:t>
            </w:r>
          </w:p>
          <w:p w14:paraId="34FBDE2C" w14:textId="77777777" w:rsidR="0036588E" w:rsidRPr="00E93010" w:rsidRDefault="0036588E" w:rsidP="00324A26">
            <w:pPr>
              <w:pStyle w:val="TableParagraph"/>
              <w:numPr>
                <w:ilvl w:val="0"/>
                <w:numId w:val="3"/>
              </w:numPr>
              <w:tabs>
                <w:tab w:val="left" w:pos="507"/>
              </w:tabs>
              <w:spacing w:before="51"/>
              <w:rPr>
                <w:sz w:val="16"/>
                <w:szCs w:val="16"/>
              </w:rPr>
            </w:pPr>
            <w:proofErr w:type="spellStart"/>
            <w:r w:rsidRPr="00E93010">
              <w:rPr>
                <w:sz w:val="16"/>
                <w:szCs w:val="16"/>
              </w:rPr>
              <w:t>A3</w:t>
            </w:r>
            <w:proofErr w:type="spellEnd"/>
            <w:r w:rsidRPr="00E93010">
              <w:rPr>
                <w:sz w:val="16"/>
                <w:szCs w:val="16"/>
              </w:rPr>
              <w:t>:</w:t>
            </w:r>
            <w:r w:rsidRPr="00E93010">
              <w:rPr>
                <w:spacing w:val="-9"/>
                <w:sz w:val="16"/>
                <w:szCs w:val="16"/>
              </w:rPr>
              <w:t xml:space="preserve"> </w:t>
            </w:r>
            <w:proofErr w:type="spellStart"/>
            <w:r w:rsidRPr="00E93010">
              <w:rPr>
                <w:sz w:val="16"/>
                <w:szCs w:val="16"/>
              </w:rPr>
              <w:t>Fremstilling</w:t>
            </w:r>
            <w:proofErr w:type="spellEnd"/>
          </w:p>
          <w:p w14:paraId="3D87094A" w14:textId="77777777" w:rsidR="0036588E" w:rsidRPr="00E93010" w:rsidRDefault="0036588E" w:rsidP="00324A26">
            <w:pPr>
              <w:pStyle w:val="TableParagraph"/>
              <w:numPr>
                <w:ilvl w:val="0"/>
                <w:numId w:val="3"/>
              </w:numPr>
              <w:tabs>
                <w:tab w:val="left" w:pos="507"/>
              </w:tabs>
              <w:spacing w:before="51"/>
              <w:rPr>
                <w:sz w:val="16"/>
                <w:szCs w:val="16"/>
              </w:rPr>
            </w:pPr>
            <w:proofErr w:type="spellStart"/>
            <w:r w:rsidRPr="00E93010">
              <w:rPr>
                <w:sz w:val="16"/>
                <w:szCs w:val="16"/>
              </w:rPr>
              <w:t>B4</w:t>
            </w:r>
            <w:proofErr w:type="spellEnd"/>
            <w:r w:rsidRPr="00E93010">
              <w:rPr>
                <w:sz w:val="16"/>
                <w:szCs w:val="16"/>
              </w:rPr>
              <w:t>:</w:t>
            </w:r>
            <w:r w:rsidRPr="00E93010">
              <w:rPr>
                <w:spacing w:val="-8"/>
                <w:sz w:val="16"/>
                <w:szCs w:val="16"/>
              </w:rPr>
              <w:t xml:space="preserve"> </w:t>
            </w:r>
            <w:proofErr w:type="spellStart"/>
            <w:r w:rsidRPr="00E93010">
              <w:rPr>
                <w:sz w:val="16"/>
                <w:szCs w:val="16"/>
              </w:rPr>
              <w:t>Udskiftning</w:t>
            </w:r>
            <w:proofErr w:type="spellEnd"/>
          </w:p>
          <w:p w14:paraId="007C246B" w14:textId="77777777" w:rsidR="0036588E" w:rsidRPr="00E93010" w:rsidRDefault="0036588E" w:rsidP="00324A26">
            <w:pPr>
              <w:pStyle w:val="TableParagraph"/>
              <w:numPr>
                <w:ilvl w:val="0"/>
                <w:numId w:val="3"/>
              </w:numPr>
              <w:tabs>
                <w:tab w:val="left" w:pos="507"/>
              </w:tabs>
              <w:spacing w:before="49"/>
              <w:rPr>
                <w:sz w:val="16"/>
                <w:szCs w:val="16"/>
              </w:rPr>
            </w:pPr>
            <w:proofErr w:type="spellStart"/>
            <w:r w:rsidRPr="00E93010">
              <w:rPr>
                <w:sz w:val="16"/>
                <w:szCs w:val="16"/>
              </w:rPr>
              <w:t>B6</w:t>
            </w:r>
            <w:proofErr w:type="spellEnd"/>
            <w:r w:rsidRPr="00E93010">
              <w:rPr>
                <w:sz w:val="16"/>
                <w:szCs w:val="16"/>
              </w:rPr>
              <w:t xml:space="preserve">: </w:t>
            </w:r>
            <w:proofErr w:type="spellStart"/>
            <w:r w:rsidRPr="00E93010">
              <w:rPr>
                <w:sz w:val="16"/>
                <w:szCs w:val="16"/>
              </w:rPr>
              <w:t>Energiforbrug</w:t>
            </w:r>
            <w:proofErr w:type="spellEnd"/>
            <w:r w:rsidRPr="00E93010">
              <w:rPr>
                <w:sz w:val="16"/>
                <w:szCs w:val="16"/>
              </w:rPr>
              <w:t xml:space="preserve"> </w:t>
            </w:r>
            <w:proofErr w:type="spellStart"/>
            <w:r w:rsidRPr="00E93010">
              <w:rPr>
                <w:sz w:val="16"/>
                <w:szCs w:val="16"/>
              </w:rPr>
              <w:t>til</w:t>
            </w:r>
            <w:proofErr w:type="spellEnd"/>
            <w:r w:rsidRPr="00E93010">
              <w:rPr>
                <w:spacing w:val="-15"/>
                <w:sz w:val="16"/>
                <w:szCs w:val="16"/>
              </w:rPr>
              <w:t xml:space="preserve"> </w:t>
            </w:r>
            <w:r w:rsidRPr="00E93010">
              <w:rPr>
                <w:sz w:val="16"/>
                <w:szCs w:val="16"/>
              </w:rPr>
              <w:t>drift</w:t>
            </w:r>
          </w:p>
          <w:p w14:paraId="358DC9C1" w14:textId="77777777" w:rsidR="0036588E" w:rsidRPr="00E93010" w:rsidRDefault="0036588E" w:rsidP="00324A26">
            <w:pPr>
              <w:pStyle w:val="TableParagraph"/>
              <w:numPr>
                <w:ilvl w:val="0"/>
                <w:numId w:val="3"/>
              </w:numPr>
              <w:tabs>
                <w:tab w:val="left" w:pos="507"/>
              </w:tabs>
              <w:spacing w:before="51"/>
              <w:rPr>
                <w:sz w:val="16"/>
                <w:szCs w:val="16"/>
              </w:rPr>
            </w:pPr>
            <w:proofErr w:type="spellStart"/>
            <w:r w:rsidRPr="00E93010">
              <w:rPr>
                <w:sz w:val="16"/>
                <w:szCs w:val="16"/>
              </w:rPr>
              <w:t>C3</w:t>
            </w:r>
            <w:proofErr w:type="spellEnd"/>
            <w:r w:rsidRPr="00E93010">
              <w:rPr>
                <w:sz w:val="16"/>
                <w:szCs w:val="16"/>
              </w:rPr>
              <w:t xml:space="preserve">: </w:t>
            </w:r>
            <w:proofErr w:type="spellStart"/>
            <w:r w:rsidRPr="00E93010">
              <w:rPr>
                <w:sz w:val="16"/>
                <w:szCs w:val="16"/>
              </w:rPr>
              <w:t>Forbehandling</w:t>
            </w:r>
            <w:proofErr w:type="spellEnd"/>
            <w:r w:rsidRPr="00E93010">
              <w:rPr>
                <w:sz w:val="16"/>
                <w:szCs w:val="16"/>
              </w:rPr>
              <w:t xml:space="preserve"> af</w:t>
            </w:r>
            <w:r w:rsidRPr="00E93010">
              <w:rPr>
                <w:spacing w:val="-16"/>
                <w:sz w:val="16"/>
                <w:szCs w:val="16"/>
              </w:rPr>
              <w:t xml:space="preserve"> </w:t>
            </w:r>
            <w:proofErr w:type="spellStart"/>
            <w:r w:rsidRPr="00E93010">
              <w:rPr>
                <w:sz w:val="16"/>
                <w:szCs w:val="16"/>
              </w:rPr>
              <w:t>affald</w:t>
            </w:r>
            <w:proofErr w:type="spellEnd"/>
          </w:p>
          <w:p w14:paraId="1B81C363" w14:textId="77777777" w:rsidR="0036588E" w:rsidRPr="00E93010" w:rsidRDefault="0036588E" w:rsidP="00324A26">
            <w:pPr>
              <w:pStyle w:val="TableParagraph"/>
              <w:numPr>
                <w:ilvl w:val="0"/>
                <w:numId w:val="3"/>
              </w:numPr>
              <w:tabs>
                <w:tab w:val="left" w:pos="507"/>
              </w:tabs>
              <w:spacing w:before="49"/>
              <w:rPr>
                <w:sz w:val="16"/>
                <w:szCs w:val="16"/>
              </w:rPr>
            </w:pPr>
            <w:proofErr w:type="spellStart"/>
            <w:r w:rsidRPr="00E93010">
              <w:rPr>
                <w:sz w:val="16"/>
                <w:szCs w:val="16"/>
              </w:rPr>
              <w:t>C4</w:t>
            </w:r>
            <w:proofErr w:type="spellEnd"/>
            <w:r w:rsidRPr="00E93010">
              <w:rPr>
                <w:sz w:val="16"/>
                <w:szCs w:val="16"/>
              </w:rPr>
              <w:t>:</w:t>
            </w:r>
            <w:r w:rsidRPr="00E93010">
              <w:rPr>
                <w:spacing w:val="-12"/>
                <w:sz w:val="16"/>
                <w:szCs w:val="16"/>
              </w:rPr>
              <w:t xml:space="preserve"> </w:t>
            </w:r>
            <w:proofErr w:type="spellStart"/>
            <w:r w:rsidRPr="00E93010">
              <w:rPr>
                <w:sz w:val="16"/>
                <w:szCs w:val="16"/>
              </w:rPr>
              <w:t>Bortskaffelse</w:t>
            </w:r>
            <w:proofErr w:type="spellEnd"/>
          </w:p>
          <w:p w14:paraId="5C317CD6" w14:textId="77777777" w:rsidR="0036588E" w:rsidRPr="00E93010" w:rsidRDefault="0036588E" w:rsidP="00324A26">
            <w:pPr>
              <w:pStyle w:val="TableParagraph"/>
              <w:numPr>
                <w:ilvl w:val="0"/>
                <w:numId w:val="3"/>
              </w:numPr>
              <w:tabs>
                <w:tab w:val="left" w:pos="507"/>
              </w:tabs>
              <w:spacing w:before="49"/>
              <w:rPr>
                <w:sz w:val="16"/>
                <w:szCs w:val="16"/>
                <w:lang w:val="da-DK"/>
              </w:rPr>
            </w:pPr>
            <w:r w:rsidRPr="00E93010">
              <w:rPr>
                <w:sz w:val="16"/>
                <w:szCs w:val="16"/>
                <w:lang w:val="da-DK"/>
              </w:rPr>
              <w:t>D:</w:t>
            </w:r>
            <w:r w:rsidRPr="00E93010">
              <w:rPr>
                <w:spacing w:val="-6"/>
                <w:sz w:val="16"/>
                <w:szCs w:val="16"/>
                <w:lang w:val="da-DK"/>
              </w:rPr>
              <w:t xml:space="preserve"> </w:t>
            </w:r>
            <w:r w:rsidRPr="00E93010">
              <w:rPr>
                <w:sz w:val="16"/>
                <w:szCs w:val="16"/>
                <w:lang w:val="da-DK"/>
              </w:rPr>
              <w:t>Potentiale</w:t>
            </w:r>
            <w:r w:rsidRPr="00E93010">
              <w:rPr>
                <w:spacing w:val="-6"/>
                <w:sz w:val="16"/>
                <w:szCs w:val="16"/>
                <w:lang w:val="da-DK"/>
              </w:rPr>
              <w:t xml:space="preserve"> </w:t>
            </w:r>
            <w:r w:rsidRPr="00E93010">
              <w:rPr>
                <w:sz w:val="16"/>
                <w:szCs w:val="16"/>
                <w:lang w:val="da-DK"/>
              </w:rPr>
              <w:t>for</w:t>
            </w:r>
            <w:r w:rsidRPr="00E93010">
              <w:rPr>
                <w:spacing w:val="-4"/>
                <w:sz w:val="16"/>
                <w:szCs w:val="16"/>
                <w:lang w:val="da-DK"/>
              </w:rPr>
              <w:t xml:space="preserve"> </w:t>
            </w:r>
            <w:r w:rsidRPr="00E93010">
              <w:rPr>
                <w:sz w:val="16"/>
                <w:szCs w:val="16"/>
                <w:lang w:val="da-DK"/>
              </w:rPr>
              <w:t>genbrug,</w:t>
            </w:r>
            <w:r w:rsidRPr="00E93010">
              <w:rPr>
                <w:spacing w:val="-7"/>
                <w:sz w:val="16"/>
                <w:szCs w:val="16"/>
                <w:lang w:val="da-DK"/>
              </w:rPr>
              <w:t xml:space="preserve"> </w:t>
            </w:r>
            <w:r w:rsidRPr="00E93010">
              <w:rPr>
                <w:sz w:val="16"/>
                <w:szCs w:val="16"/>
                <w:lang w:val="da-DK"/>
              </w:rPr>
              <w:t>genanvendelse</w:t>
            </w:r>
            <w:r w:rsidRPr="00E93010">
              <w:rPr>
                <w:spacing w:val="-6"/>
                <w:sz w:val="16"/>
                <w:szCs w:val="16"/>
                <w:lang w:val="da-DK"/>
              </w:rPr>
              <w:t xml:space="preserve"> </w:t>
            </w:r>
            <w:r w:rsidRPr="00E93010">
              <w:rPr>
                <w:sz w:val="16"/>
                <w:szCs w:val="16"/>
                <w:lang w:val="da-DK"/>
              </w:rPr>
              <w:t>og</w:t>
            </w:r>
            <w:r w:rsidRPr="00E93010">
              <w:rPr>
                <w:spacing w:val="-4"/>
                <w:sz w:val="16"/>
                <w:szCs w:val="16"/>
                <w:lang w:val="da-DK"/>
              </w:rPr>
              <w:t xml:space="preserve"> </w:t>
            </w:r>
            <w:r w:rsidRPr="00E93010">
              <w:rPr>
                <w:sz w:val="16"/>
                <w:szCs w:val="16"/>
                <w:lang w:val="da-DK"/>
              </w:rPr>
              <w:t>anden</w:t>
            </w:r>
            <w:r w:rsidRPr="00E93010">
              <w:rPr>
                <w:spacing w:val="-6"/>
                <w:sz w:val="16"/>
                <w:szCs w:val="16"/>
                <w:lang w:val="da-DK"/>
              </w:rPr>
              <w:t xml:space="preserve"> </w:t>
            </w:r>
            <w:r w:rsidRPr="00E93010">
              <w:rPr>
                <w:sz w:val="16"/>
                <w:szCs w:val="16"/>
                <w:lang w:val="da-DK"/>
              </w:rPr>
              <w:t>nyttiggørelse.</w:t>
            </w:r>
          </w:p>
        </w:tc>
        <w:tc>
          <w:tcPr>
            <w:tcW w:w="4536" w:type="dxa"/>
            <w:shd w:val="clear" w:color="auto" w:fill="E7E6E6" w:themeFill="background2"/>
          </w:tcPr>
          <w:p w14:paraId="718F0FB5" w14:textId="77777777" w:rsidR="0036588E" w:rsidRPr="00E93010" w:rsidRDefault="0036588E" w:rsidP="00324A26">
            <w:pPr>
              <w:pStyle w:val="TableParagraph"/>
              <w:ind w:right="1062"/>
              <w:rPr>
                <w:sz w:val="16"/>
                <w:szCs w:val="16"/>
                <w:lang w:val="da-DK"/>
              </w:rPr>
            </w:pPr>
            <w:r w:rsidRPr="00E93010">
              <w:rPr>
                <w:position w:val="2"/>
                <w:sz w:val="16"/>
                <w:szCs w:val="16"/>
                <w:lang w:val="da-DK"/>
              </w:rPr>
              <w:t xml:space="preserve">Beregningen af klimapåvirkningen skal følge den internationalt anerkendte standard </w:t>
            </w:r>
            <w:proofErr w:type="spellStart"/>
            <w:r w:rsidRPr="00E93010">
              <w:rPr>
                <w:position w:val="2"/>
                <w:sz w:val="16"/>
                <w:szCs w:val="16"/>
                <w:lang w:val="da-DK"/>
              </w:rPr>
              <w:t>EN15978</w:t>
            </w:r>
            <w:proofErr w:type="spellEnd"/>
            <w:r w:rsidRPr="00E93010">
              <w:rPr>
                <w:position w:val="2"/>
                <w:sz w:val="16"/>
                <w:szCs w:val="16"/>
                <w:lang w:val="da-DK"/>
              </w:rPr>
              <w:t xml:space="preserve"> og opgøres i kilogram CO</w:t>
            </w:r>
            <w:r w:rsidRPr="00E93010">
              <w:rPr>
                <w:sz w:val="16"/>
                <w:szCs w:val="16"/>
                <w:lang w:val="da-DK"/>
              </w:rPr>
              <w:t>2</w:t>
            </w:r>
            <w:r w:rsidRPr="00E93010">
              <w:rPr>
                <w:position w:val="2"/>
                <w:sz w:val="16"/>
                <w:szCs w:val="16"/>
                <w:lang w:val="da-DK"/>
              </w:rPr>
              <w:t xml:space="preserve">-ækvivalenter pr. </w:t>
            </w:r>
            <w:r w:rsidRPr="00E93010">
              <w:rPr>
                <w:sz w:val="16"/>
                <w:szCs w:val="16"/>
                <w:lang w:val="da-DK"/>
              </w:rPr>
              <w:t>kvadratmeter pr. år.</w:t>
            </w:r>
          </w:p>
          <w:p w14:paraId="185A7729" w14:textId="77777777" w:rsidR="0036588E" w:rsidRPr="00E93010" w:rsidRDefault="0036588E" w:rsidP="00324A26">
            <w:pPr>
              <w:pStyle w:val="TableParagraph"/>
              <w:spacing w:before="6"/>
              <w:ind w:left="0"/>
              <w:rPr>
                <w:sz w:val="16"/>
                <w:szCs w:val="16"/>
                <w:lang w:val="da-DK"/>
              </w:rPr>
            </w:pPr>
          </w:p>
          <w:p w14:paraId="619A22A7" w14:textId="77777777" w:rsidR="0036588E" w:rsidRPr="00E93010" w:rsidRDefault="0036588E" w:rsidP="00324A26">
            <w:pPr>
              <w:pStyle w:val="TableParagraph"/>
              <w:spacing w:before="1"/>
              <w:ind w:right="1642"/>
              <w:rPr>
                <w:sz w:val="16"/>
                <w:szCs w:val="16"/>
                <w:lang w:val="da-DK"/>
              </w:rPr>
            </w:pPr>
            <w:r w:rsidRPr="00E93010">
              <w:rPr>
                <w:sz w:val="16"/>
                <w:szCs w:val="16"/>
                <w:lang w:val="da-DK"/>
              </w:rPr>
              <w:t xml:space="preserve">Beregningen skal dække en bygnings livscyklus, og inkluderer klimapåvirkningen for modulerne A1-A3, </w:t>
            </w:r>
            <w:proofErr w:type="spellStart"/>
            <w:r w:rsidRPr="00E93010">
              <w:rPr>
                <w:sz w:val="16"/>
                <w:szCs w:val="16"/>
                <w:lang w:val="da-DK"/>
              </w:rPr>
              <w:t>B4</w:t>
            </w:r>
            <w:proofErr w:type="spellEnd"/>
            <w:r w:rsidRPr="00E93010">
              <w:rPr>
                <w:sz w:val="16"/>
                <w:szCs w:val="16"/>
                <w:lang w:val="da-DK"/>
              </w:rPr>
              <w:t xml:space="preserve">, </w:t>
            </w:r>
            <w:proofErr w:type="spellStart"/>
            <w:r w:rsidRPr="00E93010">
              <w:rPr>
                <w:sz w:val="16"/>
                <w:szCs w:val="16"/>
                <w:lang w:val="da-DK"/>
              </w:rPr>
              <w:t>B6</w:t>
            </w:r>
            <w:proofErr w:type="spellEnd"/>
            <w:r w:rsidRPr="00E93010">
              <w:rPr>
                <w:sz w:val="16"/>
                <w:szCs w:val="16"/>
                <w:lang w:val="da-DK"/>
              </w:rPr>
              <w:t xml:space="preserve">, </w:t>
            </w:r>
            <w:proofErr w:type="spellStart"/>
            <w:r w:rsidRPr="00E93010">
              <w:rPr>
                <w:sz w:val="16"/>
                <w:szCs w:val="16"/>
                <w:lang w:val="da-DK"/>
              </w:rPr>
              <w:t>C3</w:t>
            </w:r>
            <w:proofErr w:type="spellEnd"/>
            <w:r w:rsidRPr="00E93010">
              <w:rPr>
                <w:sz w:val="16"/>
                <w:szCs w:val="16"/>
                <w:lang w:val="da-DK"/>
              </w:rPr>
              <w:t xml:space="preserve">, </w:t>
            </w:r>
            <w:proofErr w:type="spellStart"/>
            <w:r w:rsidRPr="00E93010">
              <w:rPr>
                <w:sz w:val="16"/>
                <w:szCs w:val="16"/>
                <w:lang w:val="da-DK"/>
              </w:rPr>
              <w:t>C4</w:t>
            </w:r>
            <w:proofErr w:type="spellEnd"/>
            <w:r w:rsidRPr="00E93010">
              <w:rPr>
                <w:sz w:val="16"/>
                <w:szCs w:val="16"/>
                <w:lang w:val="da-DK"/>
              </w:rPr>
              <w:t xml:space="preserve"> og D over en beregningsperiode på 50 år.</w:t>
            </w:r>
          </w:p>
          <w:p w14:paraId="71305ACC" w14:textId="77777777" w:rsidR="0036588E" w:rsidRPr="00E93010" w:rsidRDefault="0036588E" w:rsidP="00324A26">
            <w:pPr>
              <w:pStyle w:val="TableParagraph"/>
              <w:spacing w:before="1"/>
              <w:ind w:right="1642"/>
              <w:rPr>
                <w:sz w:val="16"/>
                <w:szCs w:val="16"/>
                <w:lang w:val="da-DK"/>
              </w:rPr>
            </w:pPr>
          </w:p>
          <w:p w14:paraId="67184728" w14:textId="77777777" w:rsidR="0036588E" w:rsidRPr="00E93010" w:rsidRDefault="0036588E" w:rsidP="00324A26">
            <w:pPr>
              <w:pStyle w:val="TableParagraph"/>
              <w:spacing w:before="1"/>
              <w:ind w:right="1642"/>
              <w:rPr>
                <w:sz w:val="16"/>
                <w:szCs w:val="16"/>
                <w:lang w:val="da-DK"/>
              </w:rPr>
            </w:pPr>
          </w:p>
          <w:p w14:paraId="296EBDE6" w14:textId="77777777" w:rsidR="0036588E" w:rsidRPr="00E93010" w:rsidRDefault="0036588E" w:rsidP="00324A26">
            <w:pPr>
              <w:pStyle w:val="TableParagraph"/>
              <w:ind w:left="0"/>
              <w:rPr>
                <w:sz w:val="16"/>
                <w:szCs w:val="16"/>
                <w:lang w:val="da-DK"/>
              </w:rPr>
            </w:pPr>
            <w:r w:rsidRPr="00E93010">
              <w:rPr>
                <w:noProof/>
                <w:sz w:val="16"/>
                <w:szCs w:val="16"/>
                <w:lang w:val="da-DK"/>
              </w:rPr>
              <w:drawing>
                <wp:inline distT="0" distB="0" distL="0" distR="0" wp14:anchorId="554B8235" wp14:editId="4CCEFF8C">
                  <wp:extent cx="2611231" cy="1496018"/>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0837" cy="1507250"/>
                          </a:xfrm>
                          <a:prstGeom prst="rect">
                            <a:avLst/>
                          </a:prstGeom>
                          <a:noFill/>
                        </pic:spPr>
                      </pic:pic>
                    </a:graphicData>
                  </a:graphic>
                </wp:inline>
              </w:drawing>
            </w:r>
          </w:p>
          <w:p w14:paraId="1877D768" w14:textId="77777777" w:rsidR="0036588E" w:rsidRPr="00E93010" w:rsidRDefault="0036588E" w:rsidP="00324A26">
            <w:pPr>
              <w:pStyle w:val="TableParagraph"/>
              <w:spacing w:before="148"/>
              <w:ind w:right="162"/>
              <w:rPr>
                <w:sz w:val="16"/>
                <w:szCs w:val="16"/>
                <w:lang w:val="da-DK"/>
              </w:rPr>
            </w:pPr>
            <w:r w:rsidRPr="00E93010">
              <w:rPr>
                <w:sz w:val="16"/>
                <w:szCs w:val="16"/>
                <w:lang w:val="da-DK"/>
              </w:rPr>
              <w:t>Modulerne A4 og A5, som dækker påvirkninger forbundet med byggeprocessen, indgår ikke i kravet fra 2023. På nuværende tidspunkt vurderes der ikke at være tilstrækkelig erfaring med opgørelse af påvirkninger fra byggeprocessen, samtidig har modulerne ikke indgået som grundlag i den politiske aftale om national strategi for bæredygtigt byggeri. Der evalueres derfor videre på disse moduler i de næste år før beslutning om at inkludere dem træffes.</w:t>
            </w:r>
          </w:p>
          <w:p w14:paraId="488F62C2" w14:textId="77777777" w:rsidR="0036588E" w:rsidRPr="00E93010" w:rsidRDefault="0036588E" w:rsidP="00324A26">
            <w:pPr>
              <w:pStyle w:val="TableParagraph"/>
              <w:spacing w:before="4"/>
              <w:ind w:left="0"/>
              <w:rPr>
                <w:sz w:val="16"/>
                <w:szCs w:val="16"/>
                <w:lang w:val="da-DK"/>
              </w:rPr>
            </w:pPr>
          </w:p>
          <w:p w14:paraId="3FCC8C3C" w14:textId="77777777" w:rsidR="0036588E" w:rsidRDefault="0036588E" w:rsidP="00324A26">
            <w:pPr>
              <w:pStyle w:val="TableParagraph"/>
              <w:ind w:right="251"/>
              <w:rPr>
                <w:sz w:val="16"/>
                <w:szCs w:val="16"/>
                <w:lang w:val="da-DK"/>
              </w:rPr>
            </w:pPr>
            <w:r w:rsidRPr="00E93010">
              <w:rPr>
                <w:sz w:val="16"/>
                <w:szCs w:val="16"/>
                <w:lang w:val="da-DK"/>
              </w:rPr>
              <w:t xml:space="preserve">Beregningsprogrammet </w:t>
            </w:r>
            <w:proofErr w:type="spellStart"/>
            <w:r w:rsidRPr="00E93010">
              <w:rPr>
                <w:sz w:val="16"/>
                <w:szCs w:val="16"/>
                <w:lang w:val="da-DK"/>
              </w:rPr>
              <w:t>LCAbyg</w:t>
            </w:r>
            <w:proofErr w:type="spellEnd"/>
            <w:r w:rsidRPr="00E93010">
              <w:rPr>
                <w:sz w:val="16"/>
                <w:szCs w:val="16"/>
                <w:lang w:val="da-DK"/>
              </w:rPr>
              <w:t xml:space="preserve">, som er udviklet af </w:t>
            </w:r>
            <w:proofErr w:type="spellStart"/>
            <w:r w:rsidRPr="00E93010">
              <w:rPr>
                <w:sz w:val="16"/>
                <w:szCs w:val="16"/>
                <w:lang w:val="da-DK"/>
              </w:rPr>
              <w:t>BUILD</w:t>
            </w:r>
            <w:proofErr w:type="spellEnd"/>
            <w:r w:rsidRPr="00E93010">
              <w:rPr>
                <w:sz w:val="16"/>
                <w:szCs w:val="16"/>
                <w:lang w:val="da-DK"/>
              </w:rPr>
              <w:t xml:space="preserve">, bliver inden bestemmelserne træder i kraft gjort tilgængelig i en version, som følger beregningsforudsætningerne i bekendtgørelsen. Programmet er gratis at anvende på hjemmesiden </w:t>
            </w:r>
            <w:proofErr w:type="spellStart"/>
            <w:r w:rsidRPr="00E93010">
              <w:rPr>
                <w:sz w:val="16"/>
                <w:szCs w:val="16"/>
                <w:lang w:val="da-DK"/>
              </w:rPr>
              <w:t>lcabyg.dk</w:t>
            </w:r>
            <w:proofErr w:type="spellEnd"/>
            <w:r w:rsidRPr="00E93010">
              <w:rPr>
                <w:sz w:val="16"/>
                <w:szCs w:val="16"/>
                <w:lang w:val="da-DK"/>
              </w:rPr>
              <w:t>, og kan bruges til at beregne og dokumentere bygningers klimapåvirkning, ligesom det er muligt at importere miljøvaredeklarationer til programmet, jf. nærmere herom under stk. 5.</w:t>
            </w:r>
          </w:p>
          <w:p w14:paraId="252CB8E2" w14:textId="77777777" w:rsidR="0036588E" w:rsidRDefault="0036588E" w:rsidP="00324A26">
            <w:pPr>
              <w:pStyle w:val="TableParagraph"/>
              <w:ind w:right="251"/>
              <w:rPr>
                <w:sz w:val="16"/>
                <w:szCs w:val="16"/>
                <w:lang w:val="da-DK"/>
              </w:rPr>
            </w:pPr>
          </w:p>
          <w:p w14:paraId="3FBD7CD6" w14:textId="77777777" w:rsidR="0036588E" w:rsidRDefault="0036588E" w:rsidP="00324A26">
            <w:pPr>
              <w:pStyle w:val="TableParagraph"/>
              <w:ind w:right="251"/>
              <w:rPr>
                <w:sz w:val="16"/>
                <w:szCs w:val="16"/>
                <w:lang w:val="da-DK"/>
              </w:rPr>
            </w:pPr>
            <w:r w:rsidRPr="00E93010">
              <w:rPr>
                <w:sz w:val="16"/>
                <w:szCs w:val="16"/>
                <w:lang w:val="da-DK"/>
              </w:rPr>
              <w:t>Beregningen kan også foretages med andre beregningsværktøjer, så længe forudsætningerne i bekendtgørelsen følges.</w:t>
            </w:r>
          </w:p>
          <w:p w14:paraId="636AE333" w14:textId="77777777" w:rsidR="0036588E" w:rsidRPr="008261F1" w:rsidRDefault="0036588E" w:rsidP="00324A26">
            <w:pPr>
              <w:pStyle w:val="TableParagraph"/>
              <w:ind w:right="251"/>
              <w:rPr>
                <w:sz w:val="16"/>
                <w:szCs w:val="16"/>
                <w:lang w:val="da-DK"/>
              </w:rPr>
            </w:pPr>
          </w:p>
        </w:tc>
        <w:tc>
          <w:tcPr>
            <w:tcW w:w="3815" w:type="dxa"/>
          </w:tcPr>
          <w:p w14:paraId="169B03FB" w14:textId="77777777" w:rsidR="0036588E" w:rsidRPr="00E93010" w:rsidRDefault="0036588E" w:rsidP="00324A26">
            <w:pPr>
              <w:rPr>
                <w:rFonts w:ascii="Georgia" w:hAnsi="Georgia"/>
                <w:sz w:val="16"/>
                <w:szCs w:val="16"/>
              </w:rPr>
            </w:pPr>
          </w:p>
        </w:tc>
        <w:tc>
          <w:tcPr>
            <w:tcW w:w="2989" w:type="dxa"/>
          </w:tcPr>
          <w:p w14:paraId="53F46F9A" w14:textId="77777777" w:rsidR="0036588E" w:rsidRPr="00E93010" w:rsidRDefault="0036588E" w:rsidP="00324A26">
            <w:pPr>
              <w:rPr>
                <w:rFonts w:ascii="Georgia" w:hAnsi="Georgia"/>
                <w:sz w:val="16"/>
                <w:szCs w:val="16"/>
              </w:rPr>
            </w:pPr>
          </w:p>
        </w:tc>
      </w:tr>
      <w:tr w:rsidR="0036588E" w:rsidRPr="00E93010" w14:paraId="3A1BA874" w14:textId="77777777" w:rsidTr="00324A26">
        <w:tc>
          <w:tcPr>
            <w:tcW w:w="562" w:type="dxa"/>
            <w:shd w:val="clear" w:color="auto" w:fill="E7E6E6" w:themeFill="background2"/>
          </w:tcPr>
          <w:p w14:paraId="7E808DF9"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24D37F65" w14:textId="77777777" w:rsidR="0036588E" w:rsidRPr="00E93010" w:rsidRDefault="0036588E" w:rsidP="00324A26">
            <w:pPr>
              <w:pStyle w:val="TableParagraph"/>
              <w:ind w:left="100" w:right="703"/>
              <w:rPr>
                <w:sz w:val="16"/>
                <w:szCs w:val="16"/>
                <w:lang w:val="da-DK"/>
              </w:rPr>
            </w:pPr>
            <w:r w:rsidRPr="00E93010">
              <w:rPr>
                <w:i/>
                <w:sz w:val="16"/>
                <w:szCs w:val="16"/>
                <w:lang w:val="da-DK"/>
              </w:rPr>
              <w:t xml:space="preserve">Stk. 3. </w:t>
            </w:r>
            <w:r w:rsidRPr="00E93010">
              <w:rPr>
                <w:sz w:val="16"/>
                <w:szCs w:val="16"/>
                <w:lang w:val="da-DK"/>
              </w:rPr>
              <w:t>Beregning af klimapåvirkningen fra materialer foretages på baggrund af etagearealet, som dette er opgjort ifølge § 455. Til beregningen foretages derefter følgende modifikationer:</w:t>
            </w:r>
          </w:p>
          <w:p w14:paraId="60CB1BEF" w14:textId="77777777" w:rsidR="0036588E" w:rsidRPr="00E93010" w:rsidRDefault="0036588E" w:rsidP="00324A26">
            <w:pPr>
              <w:pStyle w:val="Listeafsnit"/>
              <w:numPr>
                <w:ilvl w:val="0"/>
                <w:numId w:val="4"/>
              </w:numPr>
              <w:rPr>
                <w:rFonts w:ascii="Georgia" w:hAnsi="Georgia"/>
                <w:sz w:val="16"/>
                <w:szCs w:val="16"/>
              </w:rPr>
            </w:pPr>
            <w:r w:rsidRPr="00E93010">
              <w:rPr>
                <w:rFonts w:ascii="Georgia" w:hAnsi="Georgia"/>
                <w:sz w:val="16"/>
                <w:szCs w:val="16"/>
              </w:rPr>
              <w:t>Alle kælderarealer, affaldsrum i terrænniveau og sikringsrum medregnes.</w:t>
            </w:r>
          </w:p>
          <w:p w14:paraId="6AFB7C49" w14:textId="77777777" w:rsidR="0036588E" w:rsidRPr="00E93010" w:rsidRDefault="0036588E" w:rsidP="00324A26">
            <w:pPr>
              <w:pStyle w:val="TableParagraph"/>
              <w:numPr>
                <w:ilvl w:val="0"/>
                <w:numId w:val="4"/>
              </w:numPr>
              <w:tabs>
                <w:tab w:val="left" w:pos="821"/>
              </w:tabs>
              <w:ind w:right="798"/>
              <w:rPr>
                <w:sz w:val="16"/>
                <w:szCs w:val="16"/>
                <w:lang w:val="da-DK"/>
              </w:rPr>
            </w:pPr>
            <w:r w:rsidRPr="00E93010">
              <w:rPr>
                <w:sz w:val="16"/>
                <w:szCs w:val="16"/>
                <w:lang w:val="da-DK"/>
              </w:rPr>
              <w:t>Udvendige ramper, trapper, brandtrapper og altangange, medregnes alene med 25</w:t>
            </w:r>
            <w:r w:rsidRPr="00E93010">
              <w:rPr>
                <w:spacing w:val="-11"/>
                <w:sz w:val="16"/>
                <w:szCs w:val="16"/>
                <w:lang w:val="da-DK"/>
              </w:rPr>
              <w:t xml:space="preserve"> </w:t>
            </w:r>
            <w:r w:rsidRPr="00E93010">
              <w:rPr>
                <w:sz w:val="16"/>
                <w:szCs w:val="16"/>
                <w:lang w:val="da-DK"/>
              </w:rPr>
              <w:t>pct.</w:t>
            </w:r>
          </w:p>
          <w:p w14:paraId="4CDBDBE7" w14:textId="77777777" w:rsidR="0036588E" w:rsidRPr="00E93010" w:rsidRDefault="0036588E" w:rsidP="00324A26">
            <w:pPr>
              <w:pStyle w:val="TableParagraph"/>
              <w:numPr>
                <w:ilvl w:val="0"/>
                <w:numId w:val="4"/>
              </w:numPr>
              <w:tabs>
                <w:tab w:val="left" w:pos="821"/>
              </w:tabs>
              <w:spacing w:before="3"/>
              <w:ind w:right="225"/>
              <w:rPr>
                <w:sz w:val="16"/>
                <w:szCs w:val="16"/>
                <w:lang w:val="da-DK"/>
              </w:rPr>
            </w:pPr>
            <w:r w:rsidRPr="00E93010">
              <w:rPr>
                <w:sz w:val="16"/>
                <w:szCs w:val="16"/>
                <w:lang w:val="da-DK"/>
              </w:rPr>
              <w:t>Integrerede garager til enfamiliehuse og rækkehuse og lignende medregnes alene med 50</w:t>
            </w:r>
            <w:r w:rsidRPr="00E93010">
              <w:rPr>
                <w:spacing w:val="-13"/>
                <w:sz w:val="16"/>
                <w:szCs w:val="16"/>
                <w:lang w:val="da-DK"/>
              </w:rPr>
              <w:t xml:space="preserve"> </w:t>
            </w:r>
            <w:r w:rsidRPr="00E93010">
              <w:rPr>
                <w:sz w:val="16"/>
                <w:szCs w:val="16"/>
                <w:lang w:val="da-DK"/>
              </w:rPr>
              <w:t>pct.</w:t>
            </w:r>
          </w:p>
          <w:p w14:paraId="29900F9A" w14:textId="77777777" w:rsidR="0036588E" w:rsidRPr="00E93010" w:rsidRDefault="0036588E" w:rsidP="00324A26">
            <w:pPr>
              <w:pStyle w:val="TableParagraph"/>
              <w:numPr>
                <w:ilvl w:val="0"/>
                <w:numId w:val="4"/>
              </w:numPr>
              <w:tabs>
                <w:tab w:val="left" w:pos="821"/>
              </w:tabs>
              <w:spacing w:before="3"/>
              <w:ind w:right="165"/>
              <w:rPr>
                <w:sz w:val="16"/>
                <w:szCs w:val="16"/>
                <w:lang w:val="da-DK"/>
              </w:rPr>
            </w:pPr>
            <w:r w:rsidRPr="00E93010">
              <w:rPr>
                <w:sz w:val="16"/>
                <w:szCs w:val="16"/>
                <w:lang w:val="da-DK"/>
              </w:rPr>
              <w:t>Integrerede carporte, udhuse, overdækninger, skure og lignende medregnes alene med 25</w:t>
            </w:r>
            <w:r w:rsidRPr="00E93010">
              <w:rPr>
                <w:spacing w:val="-11"/>
                <w:sz w:val="16"/>
                <w:szCs w:val="16"/>
                <w:lang w:val="da-DK"/>
              </w:rPr>
              <w:t xml:space="preserve"> </w:t>
            </w:r>
            <w:r w:rsidRPr="00E93010">
              <w:rPr>
                <w:sz w:val="16"/>
                <w:szCs w:val="16"/>
                <w:lang w:val="da-DK"/>
              </w:rPr>
              <w:t>pct.</w:t>
            </w:r>
          </w:p>
          <w:p w14:paraId="16B342E4" w14:textId="77777777" w:rsidR="0036588E" w:rsidRPr="00E93010" w:rsidRDefault="0036588E" w:rsidP="00324A26">
            <w:pPr>
              <w:pStyle w:val="Listeafsnit"/>
              <w:numPr>
                <w:ilvl w:val="0"/>
                <w:numId w:val="4"/>
              </w:numPr>
              <w:rPr>
                <w:rFonts w:ascii="Georgia" w:hAnsi="Georgia"/>
                <w:sz w:val="16"/>
                <w:szCs w:val="16"/>
              </w:rPr>
            </w:pPr>
            <w:r w:rsidRPr="00E93010">
              <w:rPr>
                <w:rFonts w:ascii="Georgia" w:hAnsi="Georgia"/>
                <w:sz w:val="16"/>
                <w:szCs w:val="16"/>
              </w:rPr>
              <w:t>Sekundære bygninger medregnes</w:t>
            </w:r>
            <w:r w:rsidRPr="00E93010">
              <w:rPr>
                <w:rFonts w:ascii="Georgia" w:hAnsi="Georgia"/>
                <w:spacing w:val="-21"/>
                <w:sz w:val="16"/>
                <w:szCs w:val="16"/>
              </w:rPr>
              <w:t xml:space="preserve"> </w:t>
            </w:r>
            <w:r w:rsidRPr="00E93010">
              <w:rPr>
                <w:rFonts w:ascii="Georgia" w:hAnsi="Georgia"/>
                <w:sz w:val="16"/>
                <w:szCs w:val="16"/>
              </w:rPr>
              <w:t>ikke.</w:t>
            </w:r>
          </w:p>
        </w:tc>
        <w:tc>
          <w:tcPr>
            <w:tcW w:w="4536" w:type="dxa"/>
            <w:shd w:val="clear" w:color="auto" w:fill="E7E6E6" w:themeFill="background2"/>
          </w:tcPr>
          <w:p w14:paraId="7619E44A" w14:textId="77777777" w:rsidR="0036588E" w:rsidRDefault="0036588E" w:rsidP="00324A26">
            <w:pPr>
              <w:pStyle w:val="TableParagraph"/>
              <w:ind w:right="883"/>
              <w:rPr>
                <w:sz w:val="16"/>
                <w:szCs w:val="16"/>
                <w:lang w:val="da-DK"/>
              </w:rPr>
            </w:pPr>
            <w:r w:rsidRPr="00E93010">
              <w:rPr>
                <w:sz w:val="16"/>
                <w:szCs w:val="16"/>
                <w:lang w:val="da-DK"/>
              </w:rPr>
              <w:t xml:space="preserve">Da beregningen af bygningers klimapåvirkning sker med udgangspunkt i </w:t>
            </w:r>
            <w:proofErr w:type="spellStart"/>
            <w:r w:rsidRPr="00E93010">
              <w:rPr>
                <w:sz w:val="16"/>
                <w:szCs w:val="16"/>
                <w:lang w:val="da-DK"/>
              </w:rPr>
              <w:t>kvadratmenter</w:t>
            </w:r>
            <w:proofErr w:type="spellEnd"/>
            <w:r w:rsidRPr="00E93010">
              <w:rPr>
                <w:sz w:val="16"/>
                <w:szCs w:val="16"/>
                <w:lang w:val="da-DK"/>
              </w:rPr>
              <w:t>, er det en vigtig forudsætning for opgørelsen, at der fastsættes et areal for beregningen.</w:t>
            </w:r>
          </w:p>
          <w:p w14:paraId="5A57E550" w14:textId="77777777" w:rsidR="0036588E" w:rsidRDefault="0036588E" w:rsidP="00324A26">
            <w:pPr>
              <w:pStyle w:val="TableParagraph"/>
              <w:ind w:right="883"/>
              <w:rPr>
                <w:sz w:val="16"/>
                <w:szCs w:val="16"/>
                <w:lang w:val="da-DK"/>
              </w:rPr>
            </w:pPr>
          </w:p>
          <w:p w14:paraId="790526C5" w14:textId="77777777" w:rsidR="0036588E" w:rsidRDefault="0036588E" w:rsidP="00324A26">
            <w:pPr>
              <w:pStyle w:val="TableParagraph"/>
              <w:ind w:right="883"/>
              <w:rPr>
                <w:sz w:val="16"/>
                <w:szCs w:val="16"/>
                <w:lang w:val="da-DK"/>
              </w:rPr>
            </w:pPr>
            <w:r w:rsidRPr="00E93010">
              <w:rPr>
                <w:sz w:val="16"/>
                <w:szCs w:val="16"/>
                <w:lang w:val="da-DK"/>
              </w:rPr>
              <w:t xml:space="preserve">Med arealet menes i denne bestemmelse et </w:t>
            </w:r>
            <w:r w:rsidRPr="00E93010">
              <w:rPr>
                <w:i/>
                <w:sz w:val="16"/>
                <w:szCs w:val="16"/>
                <w:lang w:val="da-DK"/>
              </w:rPr>
              <w:t>referenceareal</w:t>
            </w:r>
            <w:r w:rsidRPr="00E93010">
              <w:rPr>
                <w:sz w:val="16"/>
                <w:szCs w:val="16"/>
                <w:lang w:val="da-DK"/>
              </w:rPr>
              <w:t xml:space="preserve">, som klimapåvirkningen fra materialer relateres til. Det er ikke at forveksle med bygningsreglementets forståelse af ’etageareal’, men etagearealet indgår i </w:t>
            </w:r>
            <w:r w:rsidRPr="00E93010">
              <w:rPr>
                <w:i/>
                <w:sz w:val="16"/>
                <w:szCs w:val="16"/>
                <w:lang w:val="da-DK"/>
              </w:rPr>
              <w:t>referencearealet</w:t>
            </w:r>
            <w:r w:rsidRPr="00E93010">
              <w:rPr>
                <w:sz w:val="16"/>
                <w:szCs w:val="16"/>
                <w:lang w:val="da-DK"/>
              </w:rPr>
              <w:t>.</w:t>
            </w:r>
          </w:p>
          <w:p w14:paraId="55AD454E" w14:textId="77777777" w:rsidR="0036588E" w:rsidRDefault="0036588E" w:rsidP="00324A26">
            <w:pPr>
              <w:pStyle w:val="TableParagraph"/>
              <w:ind w:right="883"/>
              <w:rPr>
                <w:sz w:val="16"/>
                <w:szCs w:val="16"/>
                <w:lang w:val="da-DK"/>
              </w:rPr>
            </w:pPr>
          </w:p>
          <w:p w14:paraId="7348B758" w14:textId="77777777" w:rsidR="0036588E" w:rsidRDefault="0036588E" w:rsidP="00324A26">
            <w:pPr>
              <w:pStyle w:val="TableParagraph"/>
              <w:ind w:right="883"/>
              <w:rPr>
                <w:sz w:val="16"/>
                <w:szCs w:val="16"/>
                <w:lang w:val="da-DK"/>
              </w:rPr>
            </w:pPr>
            <w:r w:rsidRPr="00E93010">
              <w:rPr>
                <w:i/>
                <w:sz w:val="16"/>
                <w:szCs w:val="16"/>
                <w:lang w:val="da-DK"/>
              </w:rPr>
              <w:t xml:space="preserve">Referencearealet </w:t>
            </w:r>
            <w:r w:rsidRPr="00E93010">
              <w:rPr>
                <w:sz w:val="16"/>
                <w:szCs w:val="16"/>
                <w:lang w:val="da-DK"/>
              </w:rPr>
              <w:t>til beregning af klimapåvirkningen er baseret på en vurdering af, at der ud over almindelige rum i en bygning kan forekomme særlige områder, som typisk har et mindre materialebehov, fx fordi områderne ikke har vægge eller en lettere vægopbygning. Arealet er tilpasset for bedre at stå mål med klimapåvirkningen.</w:t>
            </w:r>
          </w:p>
          <w:p w14:paraId="47AEAE65" w14:textId="77777777" w:rsidR="0036588E" w:rsidRDefault="0036588E" w:rsidP="00324A26">
            <w:pPr>
              <w:pStyle w:val="TableParagraph"/>
              <w:ind w:right="883"/>
              <w:rPr>
                <w:sz w:val="16"/>
                <w:szCs w:val="16"/>
                <w:lang w:val="da-DK"/>
              </w:rPr>
            </w:pPr>
          </w:p>
          <w:p w14:paraId="13652340" w14:textId="77777777" w:rsidR="0036588E" w:rsidRDefault="0036588E" w:rsidP="00324A26">
            <w:pPr>
              <w:pStyle w:val="TableParagraph"/>
              <w:ind w:right="883"/>
              <w:rPr>
                <w:sz w:val="16"/>
                <w:szCs w:val="16"/>
                <w:lang w:val="da-DK"/>
              </w:rPr>
            </w:pPr>
            <w:r w:rsidRPr="00E93010">
              <w:rPr>
                <w:sz w:val="16"/>
                <w:szCs w:val="16"/>
                <w:lang w:val="da-DK"/>
              </w:rPr>
              <w:t>Det betyder fx, at hele klimapåvirkningen fra de anvendte materialer regnes med, men at arealet for fx udvendige trapper kun indgår med 25% i arealet.</w:t>
            </w:r>
          </w:p>
          <w:p w14:paraId="2A05F776" w14:textId="77777777" w:rsidR="0036588E" w:rsidRPr="008261F1" w:rsidRDefault="0036588E" w:rsidP="00324A26">
            <w:pPr>
              <w:pStyle w:val="TableParagraph"/>
              <w:ind w:right="883"/>
              <w:rPr>
                <w:sz w:val="16"/>
                <w:szCs w:val="16"/>
                <w:lang w:val="da-DK"/>
              </w:rPr>
            </w:pPr>
          </w:p>
        </w:tc>
        <w:tc>
          <w:tcPr>
            <w:tcW w:w="3815" w:type="dxa"/>
          </w:tcPr>
          <w:p w14:paraId="41F33FF6" w14:textId="77777777" w:rsidR="0036588E" w:rsidRPr="00E93010" w:rsidRDefault="0036588E" w:rsidP="00324A26">
            <w:pPr>
              <w:rPr>
                <w:rFonts w:ascii="Georgia" w:hAnsi="Georgia"/>
                <w:sz w:val="16"/>
                <w:szCs w:val="16"/>
              </w:rPr>
            </w:pPr>
          </w:p>
        </w:tc>
        <w:tc>
          <w:tcPr>
            <w:tcW w:w="2989" w:type="dxa"/>
          </w:tcPr>
          <w:p w14:paraId="2BE98EE5" w14:textId="77777777" w:rsidR="0036588E" w:rsidRPr="00E93010" w:rsidRDefault="0036588E" w:rsidP="00324A26">
            <w:pPr>
              <w:rPr>
                <w:rFonts w:ascii="Georgia" w:hAnsi="Georgia"/>
                <w:sz w:val="16"/>
                <w:szCs w:val="16"/>
              </w:rPr>
            </w:pPr>
          </w:p>
        </w:tc>
      </w:tr>
      <w:tr w:rsidR="0036588E" w:rsidRPr="00E93010" w14:paraId="411F93C5" w14:textId="77777777" w:rsidTr="00324A26">
        <w:tc>
          <w:tcPr>
            <w:tcW w:w="562" w:type="dxa"/>
            <w:shd w:val="clear" w:color="auto" w:fill="E7E6E6" w:themeFill="background2"/>
          </w:tcPr>
          <w:p w14:paraId="521A4BFF"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55E25804" w14:textId="77777777" w:rsidR="0036588E" w:rsidRPr="00E93010" w:rsidRDefault="0036588E" w:rsidP="00324A26">
            <w:pPr>
              <w:rPr>
                <w:rFonts w:ascii="Georgia" w:hAnsi="Georgia"/>
                <w:sz w:val="16"/>
                <w:szCs w:val="16"/>
              </w:rPr>
            </w:pPr>
            <w:r w:rsidRPr="00E93010">
              <w:rPr>
                <w:rFonts w:ascii="Georgia" w:hAnsi="Georgia"/>
                <w:i/>
                <w:sz w:val="16"/>
                <w:szCs w:val="16"/>
              </w:rPr>
              <w:t xml:space="preserve">Stk. 4. </w:t>
            </w:r>
            <w:r w:rsidRPr="00E93010">
              <w:rPr>
                <w:rFonts w:ascii="Georgia" w:hAnsi="Georgia"/>
                <w:sz w:val="16"/>
                <w:szCs w:val="16"/>
              </w:rPr>
              <w:t>I beregningen af klimapåvirkningen fra materialer indgår de dele af bygningen, som nærmere afgrænset i oversigten over bygningsdele i bilag 2, tabel 6.</w:t>
            </w:r>
          </w:p>
        </w:tc>
        <w:tc>
          <w:tcPr>
            <w:tcW w:w="4536" w:type="dxa"/>
            <w:shd w:val="clear" w:color="auto" w:fill="E7E6E6" w:themeFill="background2"/>
          </w:tcPr>
          <w:p w14:paraId="67577E3F" w14:textId="77777777" w:rsidR="0036588E" w:rsidRDefault="0036588E" w:rsidP="00324A26">
            <w:pPr>
              <w:pStyle w:val="TableParagraph"/>
              <w:ind w:right="420"/>
              <w:rPr>
                <w:sz w:val="16"/>
                <w:szCs w:val="16"/>
                <w:lang w:val="da-DK"/>
              </w:rPr>
            </w:pPr>
            <w:r w:rsidRPr="00E93010">
              <w:rPr>
                <w:sz w:val="16"/>
                <w:szCs w:val="16"/>
                <w:lang w:val="da-DK"/>
              </w:rPr>
              <w:t>For at tydeliggøre hvilke materialer og bygningsdele, der skal indgå i beregningen af klimapåvirkning og dermed sikre et ensartet grundlag for klimaberegningen, indgår der som bilag til bestemmelsen en oversigt over de bygningsdele og tilknyttede materialer, der skal medtages i beregningen</w:t>
            </w:r>
            <w:r>
              <w:rPr>
                <w:sz w:val="16"/>
                <w:szCs w:val="16"/>
                <w:lang w:val="da-DK"/>
              </w:rPr>
              <w:t>.</w:t>
            </w:r>
          </w:p>
          <w:p w14:paraId="22932D33" w14:textId="77777777" w:rsidR="0036588E" w:rsidRDefault="0036588E" w:rsidP="00324A26">
            <w:pPr>
              <w:pStyle w:val="TableParagraph"/>
              <w:ind w:right="420"/>
              <w:rPr>
                <w:sz w:val="16"/>
                <w:szCs w:val="16"/>
                <w:lang w:val="da-DK"/>
              </w:rPr>
            </w:pPr>
          </w:p>
          <w:p w14:paraId="0339D01A" w14:textId="77777777" w:rsidR="0036588E" w:rsidRPr="008261F1" w:rsidRDefault="0036588E" w:rsidP="00324A26">
            <w:pPr>
              <w:pStyle w:val="TableParagraph"/>
              <w:ind w:right="420"/>
              <w:rPr>
                <w:sz w:val="16"/>
                <w:szCs w:val="16"/>
                <w:lang w:val="da-DK"/>
              </w:rPr>
            </w:pPr>
            <w:r w:rsidRPr="00E93010">
              <w:rPr>
                <w:sz w:val="16"/>
                <w:szCs w:val="16"/>
                <w:lang w:val="da-DK"/>
              </w:rPr>
              <w:t xml:space="preserve">Oversigten indgår i bilag 2, tabel 6, </w:t>
            </w:r>
            <w:r w:rsidRPr="00E93010">
              <w:rPr>
                <w:i/>
                <w:sz w:val="16"/>
                <w:szCs w:val="16"/>
                <w:lang w:val="da-DK"/>
              </w:rPr>
              <w:t>Bygningsdele til beregning af klimapåvirkning</w:t>
            </w:r>
            <w:r w:rsidRPr="00E93010">
              <w:rPr>
                <w:sz w:val="16"/>
                <w:szCs w:val="16"/>
                <w:lang w:val="da-DK"/>
              </w:rPr>
              <w:t xml:space="preserve">, Oversigten offentliggøres også på </w:t>
            </w:r>
            <w:proofErr w:type="spellStart"/>
            <w:r w:rsidRPr="00E93010">
              <w:rPr>
                <w:sz w:val="16"/>
                <w:szCs w:val="16"/>
                <w:lang w:val="da-DK"/>
              </w:rPr>
              <w:t>bygningsreglementet.dk</w:t>
            </w:r>
            <w:proofErr w:type="spellEnd"/>
            <w:r w:rsidRPr="00E93010">
              <w:rPr>
                <w:sz w:val="16"/>
                <w:szCs w:val="16"/>
                <w:lang w:val="da-DK"/>
              </w:rPr>
              <w:t>, senest når kravet træder i kraft januar 2023.</w:t>
            </w:r>
          </w:p>
        </w:tc>
        <w:tc>
          <w:tcPr>
            <w:tcW w:w="3815" w:type="dxa"/>
          </w:tcPr>
          <w:p w14:paraId="5BF12F5D" w14:textId="77777777" w:rsidR="0036588E" w:rsidRPr="00E93010" w:rsidRDefault="0036588E" w:rsidP="00324A26">
            <w:pPr>
              <w:rPr>
                <w:rFonts w:ascii="Georgia" w:hAnsi="Georgia"/>
                <w:sz w:val="16"/>
                <w:szCs w:val="16"/>
              </w:rPr>
            </w:pPr>
          </w:p>
        </w:tc>
        <w:tc>
          <w:tcPr>
            <w:tcW w:w="2989" w:type="dxa"/>
          </w:tcPr>
          <w:p w14:paraId="4EB2EC49" w14:textId="77777777" w:rsidR="0036588E" w:rsidRPr="00E93010" w:rsidRDefault="0036588E" w:rsidP="00324A26">
            <w:pPr>
              <w:rPr>
                <w:rFonts w:ascii="Georgia" w:hAnsi="Georgia"/>
                <w:sz w:val="16"/>
                <w:szCs w:val="16"/>
              </w:rPr>
            </w:pPr>
          </w:p>
        </w:tc>
      </w:tr>
      <w:tr w:rsidR="0036588E" w:rsidRPr="00E93010" w14:paraId="2C3B36FB" w14:textId="77777777" w:rsidTr="00324A26">
        <w:tc>
          <w:tcPr>
            <w:tcW w:w="562" w:type="dxa"/>
            <w:shd w:val="clear" w:color="auto" w:fill="E7E6E6" w:themeFill="background2"/>
          </w:tcPr>
          <w:p w14:paraId="7374D1F1"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63A70189" w14:textId="77777777" w:rsidR="0036588E" w:rsidRPr="00E93010" w:rsidRDefault="0036588E" w:rsidP="00324A26">
            <w:pPr>
              <w:rPr>
                <w:rFonts w:ascii="Georgia" w:hAnsi="Georgia"/>
                <w:sz w:val="16"/>
                <w:szCs w:val="16"/>
              </w:rPr>
            </w:pPr>
            <w:r w:rsidRPr="00E93010">
              <w:rPr>
                <w:rFonts w:ascii="Georgia" w:hAnsi="Georgia"/>
                <w:i/>
                <w:sz w:val="16"/>
                <w:szCs w:val="16"/>
              </w:rPr>
              <w:t xml:space="preserve">Stk. 5. </w:t>
            </w:r>
            <w:r w:rsidRPr="00E93010">
              <w:rPr>
                <w:rFonts w:ascii="Georgia" w:hAnsi="Georgia"/>
                <w:sz w:val="16"/>
                <w:szCs w:val="16"/>
              </w:rPr>
              <w:t>Ved beregning af klimapåvirkning fra materialer anvendes det generiske datagrundlag i bilag 2, tabel 7, eller data fra miljøvaredeklarationer, jf. stk. 6.</w:t>
            </w:r>
          </w:p>
        </w:tc>
        <w:tc>
          <w:tcPr>
            <w:tcW w:w="4536" w:type="dxa"/>
            <w:shd w:val="clear" w:color="auto" w:fill="E7E6E6" w:themeFill="background2"/>
          </w:tcPr>
          <w:p w14:paraId="18F2CFB2" w14:textId="77777777" w:rsidR="0036588E" w:rsidRPr="00E93010" w:rsidRDefault="0036588E" w:rsidP="00324A26">
            <w:pPr>
              <w:pStyle w:val="TableParagraph"/>
              <w:ind w:right="764"/>
              <w:rPr>
                <w:sz w:val="16"/>
                <w:szCs w:val="16"/>
                <w:lang w:val="da-DK"/>
              </w:rPr>
            </w:pPr>
            <w:r w:rsidRPr="00E93010">
              <w:rPr>
                <w:sz w:val="16"/>
                <w:szCs w:val="16"/>
                <w:lang w:val="da-DK"/>
              </w:rPr>
              <w:t>Der stilles et samlet datagrundlag til rådighed til beregning af klimapåvirkning fra materialer. Det generiske datagrundlag skal anvendes til opfyldelse af kravet om beregning af klimapåvirkning. Formålet med at stille et samlet datagrundlag til rådighed er, at sikre en ensartethed og kvaliteten i beregningerne, samtidig med at lette arbejdet med dataindsamling.</w:t>
            </w:r>
          </w:p>
          <w:p w14:paraId="36169ADC" w14:textId="77777777" w:rsidR="0036588E" w:rsidRPr="00E93010" w:rsidRDefault="0036588E" w:rsidP="00324A26">
            <w:pPr>
              <w:pStyle w:val="TableParagraph"/>
              <w:spacing w:before="2"/>
              <w:ind w:left="0"/>
              <w:rPr>
                <w:sz w:val="16"/>
                <w:szCs w:val="16"/>
                <w:lang w:val="da-DK"/>
              </w:rPr>
            </w:pPr>
          </w:p>
          <w:p w14:paraId="1C3FB06F" w14:textId="77777777" w:rsidR="0036588E" w:rsidRPr="00E93010" w:rsidRDefault="0036588E" w:rsidP="00324A26">
            <w:pPr>
              <w:pStyle w:val="TableParagraph"/>
              <w:rPr>
                <w:sz w:val="16"/>
                <w:szCs w:val="16"/>
                <w:lang w:val="da-DK"/>
              </w:rPr>
            </w:pPr>
            <w:r w:rsidRPr="00E93010">
              <w:rPr>
                <w:sz w:val="16"/>
                <w:szCs w:val="16"/>
                <w:lang w:val="da-DK"/>
              </w:rPr>
              <w:t>Der kan afviges fra dette datagrundlag, hvis bygningsejer ønsker at gøre beregningen mere præcis ved at anvende miljøvaredeklarationer (på engelsk</w:t>
            </w:r>
          </w:p>
          <w:p w14:paraId="526042E1" w14:textId="77777777" w:rsidR="0036588E" w:rsidRPr="00E93010" w:rsidRDefault="0036588E" w:rsidP="00324A26">
            <w:pPr>
              <w:pStyle w:val="TableParagraph"/>
              <w:spacing w:before="49"/>
              <w:rPr>
                <w:sz w:val="16"/>
                <w:szCs w:val="16"/>
                <w:lang w:val="da-DK"/>
              </w:rPr>
            </w:pPr>
            <w:r w:rsidRPr="00E93010">
              <w:rPr>
                <w:sz w:val="16"/>
                <w:szCs w:val="16"/>
                <w:lang w:val="da-DK"/>
              </w:rPr>
              <w:t xml:space="preserve">– </w:t>
            </w:r>
            <w:proofErr w:type="spellStart"/>
            <w:r w:rsidRPr="00E93010">
              <w:rPr>
                <w:sz w:val="16"/>
                <w:szCs w:val="16"/>
                <w:lang w:val="da-DK"/>
              </w:rPr>
              <w:t>environmental</w:t>
            </w:r>
            <w:proofErr w:type="spellEnd"/>
            <w:r w:rsidRPr="00E93010">
              <w:rPr>
                <w:sz w:val="16"/>
                <w:szCs w:val="16"/>
                <w:lang w:val="da-DK"/>
              </w:rPr>
              <w:t xml:space="preserve"> product </w:t>
            </w:r>
            <w:proofErr w:type="spellStart"/>
            <w:r w:rsidRPr="00E93010">
              <w:rPr>
                <w:sz w:val="16"/>
                <w:szCs w:val="16"/>
                <w:lang w:val="da-DK"/>
              </w:rPr>
              <w:t>declaration</w:t>
            </w:r>
            <w:proofErr w:type="spellEnd"/>
            <w:r w:rsidRPr="00E93010">
              <w:rPr>
                <w:sz w:val="16"/>
                <w:szCs w:val="16"/>
                <w:lang w:val="da-DK"/>
              </w:rPr>
              <w:t xml:space="preserve"> (EPD)) jf. stk. 6 i stedet for det generiske datagrundlag.</w:t>
            </w:r>
          </w:p>
          <w:p w14:paraId="51F28030" w14:textId="77777777" w:rsidR="0036588E" w:rsidRPr="00E93010" w:rsidRDefault="0036588E" w:rsidP="00324A26">
            <w:pPr>
              <w:pStyle w:val="TableParagraph"/>
              <w:ind w:left="0"/>
              <w:rPr>
                <w:sz w:val="16"/>
                <w:szCs w:val="16"/>
                <w:lang w:val="da-DK"/>
              </w:rPr>
            </w:pPr>
          </w:p>
          <w:p w14:paraId="5F2C9218" w14:textId="77777777" w:rsidR="0036588E" w:rsidRPr="00E93010" w:rsidRDefault="0036588E" w:rsidP="00324A26">
            <w:pPr>
              <w:pStyle w:val="TableParagraph"/>
              <w:ind w:right="667"/>
              <w:rPr>
                <w:sz w:val="16"/>
                <w:szCs w:val="16"/>
                <w:lang w:val="da-DK"/>
              </w:rPr>
            </w:pPr>
            <w:r w:rsidRPr="00E93010">
              <w:rPr>
                <w:sz w:val="16"/>
                <w:szCs w:val="16"/>
                <w:lang w:val="da-DK"/>
              </w:rPr>
              <w:t xml:space="preserve">Hvis brugeren bliver i tvivl om, hvilken værdi der skal anvendes blandt flere mulige, eller om en bestemt byggevare ikke eksisterer i datasættet, benyttes værdien for den byggevare, som brugeren </w:t>
            </w:r>
            <w:proofErr w:type="gramStart"/>
            <w:r w:rsidRPr="00E93010">
              <w:rPr>
                <w:sz w:val="16"/>
                <w:szCs w:val="16"/>
                <w:lang w:val="da-DK"/>
              </w:rPr>
              <w:t>vurderer</w:t>
            </w:r>
            <w:proofErr w:type="gramEnd"/>
            <w:r w:rsidRPr="00E93010">
              <w:rPr>
                <w:sz w:val="16"/>
                <w:szCs w:val="16"/>
                <w:lang w:val="da-DK"/>
              </w:rPr>
              <w:t xml:space="preserve"> repræsenterer byggevaren bedst.</w:t>
            </w:r>
          </w:p>
          <w:p w14:paraId="4BED88B2" w14:textId="77777777" w:rsidR="0036588E" w:rsidRPr="00E93010" w:rsidRDefault="0036588E" w:rsidP="00324A26">
            <w:pPr>
              <w:pStyle w:val="TableParagraph"/>
              <w:spacing w:before="6"/>
              <w:ind w:left="0"/>
              <w:rPr>
                <w:sz w:val="16"/>
                <w:szCs w:val="16"/>
                <w:lang w:val="da-DK"/>
              </w:rPr>
            </w:pPr>
          </w:p>
          <w:p w14:paraId="72A1F6AB" w14:textId="77777777" w:rsidR="0036588E" w:rsidRPr="00E93010" w:rsidRDefault="0036588E" w:rsidP="00324A26">
            <w:pPr>
              <w:pStyle w:val="TableParagraph"/>
              <w:spacing w:before="1"/>
              <w:rPr>
                <w:sz w:val="16"/>
                <w:szCs w:val="16"/>
                <w:lang w:val="da-DK"/>
              </w:rPr>
            </w:pPr>
            <w:r w:rsidRPr="00E93010">
              <w:rPr>
                <w:sz w:val="16"/>
                <w:szCs w:val="16"/>
                <w:lang w:val="da-DK"/>
              </w:rPr>
              <w:t>Det generiske datagrundlag fremgår af tabel 7 til bilag 2 (Generisk datagrundlag 2023).</w:t>
            </w:r>
          </w:p>
          <w:p w14:paraId="4A80EE70" w14:textId="77777777" w:rsidR="0036588E" w:rsidRPr="00E93010" w:rsidRDefault="0036588E" w:rsidP="00324A26">
            <w:pPr>
              <w:pStyle w:val="TableParagraph"/>
              <w:ind w:left="0"/>
              <w:rPr>
                <w:sz w:val="16"/>
                <w:szCs w:val="16"/>
                <w:lang w:val="da-DK"/>
              </w:rPr>
            </w:pPr>
          </w:p>
          <w:p w14:paraId="4F482351" w14:textId="77777777" w:rsidR="0036588E" w:rsidRPr="00E93010" w:rsidRDefault="0036588E" w:rsidP="00324A26">
            <w:pPr>
              <w:pStyle w:val="TableParagraph"/>
              <w:ind w:right="261"/>
              <w:rPr>
                <w:sz w:val="16"/>
                <w:szCs w:val="16"/>
                <w:lang w:val="da-DK"/>
              </w:rPr>
            </w:pPr>
            <w:r w:rsidRPr="00E93010">
              <w:rPr>
                <w:sz w:val="16"/>
                <w:szCs w:val="16"/>
                <w:lang w:val="da-DK"/>
              </w:rPr>
              <w:t>Datagrundlaget skal anvendes for byggesager, som søger om byggetilladelse i perioden januar 2023- december 2024. Fra januar 2025 forventes der at blive udgivet et nyt datagrundlag.</w:t>
            </w:r>
          </w:p>
          <w:p w14:paraId="1D7FB218" w14:textId="77777777" w:rsidR="0036588E" w:rsidRPr="00E93010" w:rsidRDefault="0036588E" w:rsidP="00324A26">
            <w:pPr>
              <w:pStyle w:val="TableParagraph"/>
              <w:spacing w:before="6"/>
              <w:ind w:left="0"/>
              <w:rPr>
                <w:sz w:val="16"/>
                <w:szCs w:val="16"/>
                <w:lang w:val="da-DK"/>
              </w:rPr>
            </w:pPr>
          </w:p>
          <w:p w14:paraId="46E00A20" w14:textId="77777777" w:rsidR="0036588E" w:rsidRPr="00E93010" w:rsidRDefault="0036588E" w:rsidP="00324A26">
            <w:pPr>
              <w:pStyle w:val="TableParagraph"/>
              <w:spacing w:before="1"/>
              <w:ind w:right="372" w:hanging="1"/>
              <w:rPr>
                <w:sz w:val="16"/>
                <w:szCs w:val="16"/>
                <w:lang w:val="da-DK"/>
              </w:rPr>
            </w:pPr>
            <w:r w:rsidRPr="00E93010">
              <w:rPr>
                <w:sz w:val="16"/>
                <w:szCs w:val="16"/>
                <w:lang w:val="da-DK"/>
              </w:rPr>
              <w:t xml:space="preserve">Datagrundlaget er udarbejdet af </w:t>
            </w:r>
            <w:proofErr w:type="spellStart"/>
            <w:r w:rsidRPr="00E93010">
              <w:rPr>
                <w:sz w:val="16"/>
                <w:szCs w:val="16"/>
                <w:lang w:val="da-DK"/>
              </w:rPr>
              <w:t>BUILD</w:t>
            </w:r>
            <w:proofErr w:type="spellEnd"/>
            <w:r w:rsidRPr="00E93010">
              <w:rPr>
                <w:sz w:val="16"/>
                <w:szCs w:val="16"/>
                <w:lang w:val="da-DK"/>
              </w:rPr>
              <w:t xml:space="preserve"> efter Bolig- og Planstyrelsens anvisninger og sikrer et generisk datagrundlag for de forskellige byggevarer, som anvendes i byggeriet. De publicerede dataværdier udtrykker generiske værdier for typer af produkter. Det er udarbejdet, så det svarer så vidt muligt til det data, der har været anvendt som grundlag for fastsættelse af grænseværdien, jf. aftalen om National Strategi for bæredygtigt byggeri. Dermed sikres et ensartet grundlag for beregningen og overholdelse af grænseværdien.</w:t>
            </w:r>
          </w:p>
          <w:p w14:paraId="1BF14B70" w14:textId="77777777" w:rsidR="0036588E" w:rsidRPr="00E93010" w:rsidRDefault="0036588E" w:rsidP="00324A26">
            <w:pPr>
              <w:pStyle w:val="TableParagraph"/>
              <w:spacing w:before="4"/>
              <w:ind w:left="0"/>
              <w:rPr>
                <w:sz w:val="16"/>
                <w:szCs w:val="16"/>
                <w:lang w:val="da-DK"/>
              </w:rPr>
            </w:pPr>
          </w:p>
          <w:p w14:paraId="12E7CB0D" w14:textId="77777777" w:rsidR="0036588E" w:rsidRPr="00E93010" w:rsidRDefault="0036588E" w:rsidP="00324A26">
            <w:pPr>
              <w:pStyle w:val="TableParagraph"/>
              <w:rPr>
                <w:sz w:val="16"/>
                <w:szCs w:val="16"/>
                <w:lang w:val="da-DK"/>
              </w:rPr>
            </w:pPr>
            <w:r w:rsidRPr="00E93010">
              <w:rPr>
                <w:sz w:val="16"/>
                <w:szCs w:val="16"/>
                <w:lang w:val="da-DK"/>
              </w:rPr>
              <w:t>Der kan forekomme mindre justeringer af værdierne i datagrundlaget forud for den endelige udgivelse.</w:t>
            </w:r>
          </w:p>
          <w:p w14:paraId="61657083" w14:textId="77777777" w:rsidR="0036588E" w:rsidRPr="00E93010" w:rsidRDefault="0036588E" w:rsidP="00324A26">
            <w:pPr>
              <w:pStyle w:val="TableParagraph"/>
              <w:spacing w:before="9"/>
              <w:ind w:left="0"/>
              <w:rPr>
                <w:sz w:val="16"/>
                <w:szCs w:val="16"/>
                <w:lang w:val="da-DK"/>
              </w:rPr>
            </w:pPr>
          </w:p>
          <w:p w14:paraId="0B9A33AD" w14:textId="77777777" w:rsidR="0036588E" w:rsidRDefault="0036588E" w:rsidP="00324A26">
            <w:pPr>
              <w:pStyle w:val="TableParagraph"/>
              <w:ind w:right="231"/>
              <w:rPr>
                <w:sz w:val="16"/>
                <w:szCs w:val="16"/>
                <w:lang w:val="da-DK"/>
              </w:rPr>
            </w:pPr>
            <w:r w:rsidRPr="00E93010">
              <w:rPr>
                <w:sz w:val="16"/>
                <w:szCs w:val="16"/>
                <w:lang w:val="da-DK"/>
              </w:rPr>
              <w:t xml:space="preserve">Det generiske datagrundlag vil udover at fremgå af bilaget til bestemmelsen også blive offentliggjort på </w:t>
            </w:r>
            <w:proofErr w:type="spellStart"/>
            <w:r w:rsidRPr="00E93010">
              <w:rPr>
                <w:sz w:val="16"/>
                <w:szCs w:val="16"/>
                <w:lang w:val="da-DK"/>
              </w:rPr>
              <w:t>bygningsreglementet.dk</w:t>
            </w:r>
            <w:proofErr w:type="spellEnd"/>
            <w:r w:rsidRPr="00E93010">
              <w:rPr>
                <w:sz w:val="16"/>
                <w:szCs w:val="16"/>
                <w:lang w:val="da-DK"/>
              </w:rPr>
              <w:t>, og det forventes, at datagrundlaget udgives her allerede medio 2022 med eventuelle mindre ændringer hen mod slut 2022.</w:t>
            </w:r>
          </w:p>
          <w:p w14:paraId="35BD1E68" w14:textId="77777777" w:rsidR="0036588E" w:rsidRDefault="0036588E" w:rsidP="00324A26">
            <w:pPr>
              <w:pStyle w:val="TableParagraph"/>
              <w:ind w:right="231"/>
              <w:rPr>
                <w:sz w:val="16"/>
                <w:szCs w:val="16"/>
                <w:lang w:val="da-DK"/>
              </w:rPr>
            </w:pPr>
          </w:p>
          <w:p w14:paraId="33445C37" w14:textId="77777777" w:rsidR="0036588E" w:rsidRDefault="0036588E" w:rsidP="00324A26">
            <w:pPr>
              <w:pStyle w:val="TableParagraph"/>
              <w:ind w:right="231"/>
              <w:rPr>
                <w:sz w:val="16"/>
                <w:szCs w:val="16"/>
                <w:lang w:val="da-DK"/>
              </w:rPr>
            </w:pPr>
            <w:r w:rsidRPr="00E93010">
              <w:rPr>
                <w:sz w:val="16"/>
                <w:szCs w:val="16"/>
                <w:lang w:val="da-DK"/>
              </w:rPr>
              <w:t xml:space="preserve">Ønsker man mere viden om baggrunden for de enkelte værdier i datagrundlaget, herunder hvilke miljøvaredeklarationer eller generiske værdier fra </w:t>
            </w:r>
            <w:proofErr w:type="spellStart"/>
            <w:r w:rsidRPr="00E93010">
              <w:rPr>
                <w:sz w:val="16"/>
                <w:szCs w:val="16"/>
                <w:lang w:val="da-DK"/>
              </w:rPr>
              <w:t>Ökobaudat</w:t>
            </w:r>
            <w:proofErr w:type="spellEnd"/>
            <w:r w:rsidRPr="00E93010">
              <w:rPr>
                <w:sz w:val="16"/>
                <w:szCs w:val="16"/>
                <w:lang w:val="da-DK"/>
              </w:rPr>
              <w:t xml:space="preserve">, der har haft indflydelse på fastsættelsen af de generiske værdier i datasættet, er denne information tilgængelig i </w:t>
            </w:r>
            <w:proofErr w:type="spellStart"/>
            <w:r w:rsidRPr="00E93010">
              <w:rPr>
                <w:sz w:val="16"/>
                <w:szCs w:val="16"/>
                <w:lang w:val="da-DK"/>
              </w:rPr>
              <w:t>LCAbyg</w:t>
            </w:r>
            <w:proofErr w:type="spellEnd"/>
            <w:r w:rsidRPr="00E93010">
              <w:rPr>
                <w:sz w:val="16"/>
                <w:szCs w:val="16"/>
                <w:lang w:val="da-DK"/>
              </w:rPr>
              <w:t xml:space="preserve"> eller hos Bolig- og Planstyrelsen.</w:t>
            </w:r>
          </w:p>
          <w:p w14:paraId="60927B0D" w14:textId="77777777" w:rsidR="0036588E" w:rsidRPr="00A0014D" w:rsidRDefault="0036588E" w:rsidP="00324A26">
            <w:pPr>
              <w:pStyle w:val="TableParagraph"/>
              <w:ind w:right="231"/>
              <w:rPr>
                <w:sz w:val="16"/>
                <w:szCs w:val="16"/>
                <w:lang w:val="da-DK"/>
              </w:rPr>
            </w:pPr>
          </w:p>
        </w:tc>
        <w:tc>
          <w:tcPr>
            <w:tcW w:w="3815" w:type="dxa"/>
          </w:tcPr>
          <w:p w14:paraId="6E879017" w14:textId="77777777" w:rsidR="0036588E" w:rsidRPr="00E93010" w:rsidRDefault="0036588E" w:rsidP="00324A26">
            <w:pPr>
              <w:rPr>
                <w:rFonts w:ascii="Georgia" w:hAnsi="Georgia"/>
                <w:sz w:val="16"/>
                <w:szCs w:val="16"/>
              </w:rPr>
            </w:pPr>
          </w:p>
        </w:tc>
        <w:tc>
          <w:tcPr>
            <w:tcW w:w="2989" w:type="dxa"/>
          </w:tcPr>
          <w:p w14:paraId="61AFB18C" w14:textId="77777777" w:rsidR="0036588E" w:rsidRPr="00E93010" w:rsidRDefault="0036588E" w:rsidP="00324A26">
            <w:pPr>
              <w:rPr>
                <w:rFonts w:ascii="Georgia" w:hAnsi="Georgia"/>
                <w:sz w:val="16"/>
                <w:szCs w:val="16"/>
              </w:rPr>
            </w:pPr>
          </w:p>
        </w:tc>
      </w:tr>
      <w:tr w:rsidR="0036588E" w:rsidRPr="00E93010" w14:paraId="4D2B6AF3" w14:textId="77777777" w:rsidTr="00324A26">
        <w:tc>
          <w:tcPr>
            <w:tcW w:w="562" w:type="dxa"/>
            <w:shd w:val="clear" w:color="auto" w:fill="E7E6E6" w:themeFill="background2"/>
          </w:tcPr>
          <w:p w14:paraId="76B8FCF8"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31CDA25E" w14:textId="77777777" w:rsidR="0036588E" w:rsidRPr="00E93010" w:rsidRDefault="0036588E" w:rsidP="00324A26">
            <w:pPr>
              <w:rPr>
                <w:rFonts w:ascii="Georgia" w:hAnsi="Georgia"/>
                <w:sz w:val="16"/>
                <w:szCs w:val="16"/>
              </w:rPr>
            </w:pPr>
            <w:r w:rsidRPr="00E93010">
              <w:rPr>
                <w:rFonts w:ascii="Georgia" w:hAnsi="Georgia"/>
                <w:i/>
                <w:sz w:val="16"/>
                <w:szCs w:val="16"/>
              </w:rPr>
              <w:t xml:space="preserve">Stk. 6. </w:t>
            </w:r>
            <w:r w:rsidRPr="00E93010">
              <w:rPr>
                <w:rFonts w:ascii="Georgia" w:hAnsi="Georgia"/>
                <w:sz w:val="16"/>
                <w:szCs w:val="16"/>
              </w:rPr>
              <w:t>Anvendte miljøvaredeklarationer skal være relevante og gyldige samt udført i henhold til DS/</w:t>
            </w:r>
            <w:proofErr w:type="spellStart"/>
            <w:r w:rsidRPr="00E93010">
              <w:rPr>
                <w:rFonts w:ascii="Georgia" w:hAnsi="Georgia"/>
                <w:sz w:val="16"/>
                <w:szCs w:val="16"/>
              </w:rPr>
              <w:t>EN15804</w:t>
            </w:r>
            <w:proofErr w:type="spellEnd"/>
            <w:r w:rsidRPr="00E93010">
              <w:rPr>
                <w:rFonts w:ascii="Georgia" w:hAnsi="Georgia"/>
                <w:sz w:val="16"/>
                <w:szCs w:val="16"/>
              </w:rPr>
              <w:t xml:space="preserve"> Bæredygtighed inden for byggeri og anlæg - Miljøvaredeklarationer – Grundlæggende regler for produktkategorien byggevarer. Miljøvaredeklarationer kan være projektspecifikke, produktspecifikke eller repræsentere et gennemsnit for en bestemt produkttype.</w:t>
            </w:r>
          </w:p>
        </w:tc>
        <w:tc>
          <w:tcPr>
            <w:tcW w:w="4536" w:type="dxa"/>
            <w:shd w:val="clear" w:color="auto" w:fill="E7E6E6" w:themeFill="background2"/>
          </w:tcPr>
          <w:p w14:paraId="38DAB5C2" w14:textId="77777777" w:rsidR="0036588E" w:rsidRPr="00E93010" w:rsidRDefault="0036588E" w:rsidP="00324A26">
            <w:pPr>
              <w:pStyle w:val="TableParagraph"/>
              <w:ind w:right="138"/>
              <w:rPr>
                <w:sz w:val="16"/>
                <w:szCs w:val="16"/>
                <w:lang w:val="da-DK"/>
              </w:rPr>
            </w:pPr>
            <w:r w:rsidRPr="00E93010">
              <w:rPr>
                <w:sz w:val="16"/>
                <w:szCs w:val="16"/>
                <w:lang w:val="da-DK"/>
              </w:rPr>
              <w:t xml:space="preserve">En miljøvaredeklaration (EPD) kan anvendes til beregning af klimapåvirkningen. For projekt- og produktspecifikke miljøvaredeklarationer betyder det, at det faktiske produkt skal være anvendt i bygningen. For miljøvaredeklarationer der repræsenterer et gennemsnit for en bestemt produkttype af byggevarer, betyder det, at det faktiske produkt der anvendes i </w:t>
            </w:r>
            <w:proofErr w:type="gramStart"/>
            <w:r w:rsidRPr="00E93010">
              <w:rPr>
                <w:sz w:val="16"/>
                <w:szCs w:val="16"/>
                <w:lang w:val="da-DK"/>
              </w:rPr>
              <w:t>bygningen</w:t>
            </w:r>
            <w:proofErr w:type="gramEnd"/>
            <w:r w:rsidRPr="00E93010">
              <w:rPr>
                <w:sz w:val="16"/>
                <w:szCs w:val="16"/>
                <w:lang w:val="da-DK"/>
              </w:rPr>
              <w:t xml:space="preserve"> svarer til den deklarerede produktkategori. Alternativet til anvendelse af miljøvaredeklarationer er det generiske datagrundlag, som fremgår af stk. 5.</w:t>
            </w:r>
          </w:p>
          <w:p w14:paraId="397BA380" w14:textId="77777777" w:rsidR="0036588E" w:rsidRPr="00E93010" w:rsidRDefault="0036588E" w:rsidP="00324A26">
            <w:pPr>
              <w:pStyle w:val="TableParagraph"/>
              <w:spacing w:before="4"/>
              <w:ind w:left="0"/>
              <w:rPr>
                <w:sz w:val="16"/>
                <w:szCs w:val="16"/>
                <w:lang w:val="da-DK"/>
              </w:rPr>
            </w:pPr>
          </w:p>
          <w:p w14:paraId="573C3F0A" w14:textId="77777777" w:rsidR="0036588E" w:rsidRPr="00E93010" w:rsidRDefault="0036588E" w:rsidP="00324A26">
            <w:pPr>
              <w:pStyle w:val="TableParagraph"/>
              <w:ind w:right="533"/>
              <w:rPr>
                <w:sz w:val="16"/>
                <w:szCs w:val="16"/>
                <w:lang w:val="da-DK"/>
              </w:rPr>
            </w:pPr>
            <w:r w:rsidRPr="00E93010">
              <w:rPr>
                <w:sz w:val="16"/>
                <w:szCs w:val="16"/>
                <w:lang w:val="da-DK"/>
              </w:rPr>
              <w:t xml:space="preserve">Standarden </w:t>
            </w:r>
            <w:proofErr w:type="spellStart"/>
            <w:r w:rsidRPr="00E93010">
              <w:rPr>
                <w:sz w:val="16"/>
                <w:szCs w:val="16"/>
                <w:lang w:val="da-DK"/>
              </w:rPr>
              <w:t>EN15804</w:t>
            </w:r>
            <w:proofErr w:type="spellEnd"/>
            <w:r w:rsidRPr="00E93010">
              <w:rPr>
                <w:sz w:val="16"/>
                <w:szCs w:val="16"/>
                <w:lang w:val="da-DK"/>
              </w:rPr>
              <w:t xml:space="preserve"> (+A1) blev revideret i 2019 til en nyere version (+A2), og i en overgangsperiode (slut 2019- slut 2022) kan der blive udført miljøvaredeklarationer efter begge standarder. Det medfører, at der ved ikrafttrædelse af kravet om beregning af klimapåvirkning eksisterer gyldige miljøvaredeklarationer efter både +A1 og +A2, da en miljøvaredeklaration efter udstedelse kan være gyldig i op til 5 år. Forskellen mellem +A1 </w:t>
            </w:r>
            <w:proofErr w:type="spellStart"/>
            <w:r w:rsidRPr="00E93010">
              <w:rPr>
                <w:sz w:val="16"/>
                <w:szCs w:val="16"/>
                <w:lang w:val="da-DK"/>
              </w:rPr>
              <w:t>og+A2</w:t>
            </w:r>
            <w:proofErr w:type="spellEnd"/>
            <w:r w:rsidRPr="00E93010">
              <w:rPr>
                <w:sz w:val="16"/>
                <w:szCs w:val="16"/>
                <w:lang w:val="da-DK"/>
              </w:rPr>
              <w:t xml:space="preserve"> er bl.a., at resultatet formidles anderledes, dvs. både hvordan klimapåvirkningen (</w:t>
            </w:r>
            <w:proofErr w:type="spellStart"/>
            <w:r w:rsidRPr="00E93010">
              <w:rPr>
                <w:sz w:val="16"/>
                <w:szCs w:val="16"/>
                <w:lang w:val="da-DK"/>
              </w:rPr>
              <w:t>GWP</w:t>
            </w:r>
            <w:proofErr w:type="spellEnd"/>
            <w:r w:rsidRPr="00E93010">
              <w:rPr>
                <w:sz w:val="16"/>
                <w:szCs w:val="16"/>
                <w:lang w:val="da-DK"/>
              </w:rPr>
              <w:t>) opgøres, men også hvilke miljøindikatorer der skal opgøres.</w:t>
            </w:r>
          </w:p>
          <w:p w14:paraId="3D4B3ECC" w14:textId="77777777" w:rsidR="0036588E" w:rsidRPr="00E93010" w:rsidRDefault="0036588E" w:rsidP="00324A26">
            <w:pPr>
              <w:pStyle w:val="TableParagraph"/>
              <w:spacing w:before="6"/>
              <w:ind w:left="0"/>
              <w:rPr>
                <w:sz w:val="16"/>
                <w:szCs w:val="16"/>
                <w:lang w:val="da-DK"/>
              </w:rPr>
            </w:pPr>
          </w:p>
          <w:p w14:paraId="0AB4DBA0" w14:textId="77777777" w:rsidR="0036588E" w:rsidRDefault="0036588E" w:rsidP="00324A26">
            <w:pPr>
              <w:pStyle w:val="TableParagraph"/>
              <w:spacing w:before="1"/>
              <w:ind w:left="102"/>
              <w:rPr>
                <w:sz w:val="16"/>
                <w:szCs w:val="16"/>
                <w:lang w:val="da-DK"/>
              </w:rPr>
            </w:pPr>
            <w:r w:rsidRPr="00E93010">
              <w:rPr>
                <w:sz w:val="16"/>
                <w:szCs w:val="16"/>
                <w:lang w:val="da-DK"/>
              </w:rPr>
              <w:t>Bolig- og Planstyrelsen har vurderet, at usikkerheden i hvordan klimapåvirkningen opgøres for version +A1 hhv. +A2 er acceptabel, da det prioriteres højere, at alle gyldige miljøvaredeklarationer kan anvendes.</w:t>
            </w:r>
          </w:p>
          <w:p w14:paraId="575A2F7D" w14:textId="77777777" w:rsidR="0036588E" w:rsidRDefault="0036588E" w:rsidP="00324A26">
            <w:pPr>
              <w:pStyle w:val="TableParagraph"/>
              <w:spacing w:before="1"/>
              <w:ind w:left="102"/>
              <w:rPr>
                <w:sz w:val="16"/>
                <w:szCs w:val="16"/>
                <w:lang w:val="da-DK"/>
              </w:rPr>
            </w:pPr>
          </w:p>
          <w:p w14:paraId="39DCA840" w14:textId="77777777" w:rsidR="0036588E" w:rsidRDefault="0036588E" w:rsidP="00324A26">
            <w:pPr>
              <w:pStyle w:val="TableParagraph"/>
              <w:spacing w:before="1"/>
              <w:ind w:left="102"/>
              <w:rPr>
                <w:sz w:val="16"/>
                <w:szCs w:val="16"/>
                <w:lang w:val="da-DK"/>
              </w:rPr>
            </w:pPr>
            <w:r w:rsidRPr="00E93010">
              <w:rPr>
                <w:sz w:val="16"/>
                <w:szCs w:val="16"/>
                <w:lang w:val="da-DK"/>
              </w:rPr>
              <w:t>Derfor kan alle gyldige og relevante miljøvaredeklarationer, uanset hvilken version de er udført efter, anvendes til at opfylde kravet om klimaberegning.</w:t>
            </w:r>
          </w:p>
          <w:p w14:paraId="612F70EC" w14:textId="77777777" w:rsidR="0036588E" w:rsidRPr="00A0014D" w:rsidRDefault="0036588E" w:rsidP="00324A26">
            <w:pPr>
              <w:pStyle w:val="TableParagraph"/>
              <w:spacing w:before="1"/>
              <w:ind w:left="102"/>
              <w:rPr>
                <w:sz w:val="16"/>
                <w:szCs w:val="16"/>
                <w:lang w:val="da-DK"/>
              </w:rPr>
            </w:pPr>
          </w:p>
        </w:tc>
        <w:tc>
          <w:tcPr>
            <w:tcW w:w="3815" w:type="dxa"/>
          </w:tcPr>
          <w:p w14:paraId="740BE71F" w14:textId="77777777" w:rsidR="0036588E" w:rsidRPr="00E93010" w:rsidRDefault="0036588E" w:rsidP="00324A26">
            <w:pPr>
              <w:rPr>
                <w:rFonts w:ascii="Georgia" w:hAnsi="Georgia"/>
                <w:sz w:val="16"/>
                <w:szCs w:val="16"/>
              </w:rPr>
            </w:pPr>
          </w:p>
        </w:tc>
        <w:tc>
          <w:tcPr>
            <w:tcW w:w="2989" w:type="dxa"/>
          </w:tcPr>
          <w:p w14:paraId="07AE84DB" w14:textId="77777777" w:rsidR="0036588E" w:rsidRPr="00E93010" w:rsidRDefault="0036588E" w:rsidP="00324A26">
            <w:pPr>
              <w:rPr>
                <w:rFonts w:ascii="Georgia" w:hAnsi="Georgia"/>
                <w:sz w:val="16"/>
                <w:szCs w:val="16"/>
              </w:rPr>
            </w:pPr>
          </w:p>
        </w:tc>
      </w:tr>
      <w:tr w:rsidR="0036588E" w:rsidRPr="00E93010" w14:paraId="6B69B917" w14:textId="77777777" w:rsidTr="00324A26">
        <w:tc>
          <w:tcPr>
            <w:tcW w:w="562" w:type="dxa"/>
            <w:shd w:val="clear" w:color="auto" w:fill="E7E6E6" w:themeFill="background2"/>
          </w:tcPr>
          <w:p w14:paraId="15B2B842"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04537680" w14:textId="77777777" w:rsidR="0036588E" w:rsidRPr="00E93010" w:rsidRDefault="0036588E" w:rsidP="00324A26">
            <w:pPr>
              <w:rPr>
                <w:rFonts w:ascii="Georgia" w:hAnsi="Georgia"/>
                <w:sz w:val="16"/>
                <w:szCs w:val="16"/>
              </w:rPr>
            </w:pPr>
            <w:r w:rsidRPr="00E93010">
              <w:rPr>
                <w:rFonts w:ascii="Georgia" w:hAnsi="Georgia"/>
                <w:i/>
                <w:sz w:val="16"/>
                <w:szCs w:val="16"/>
              </w:rPr>
              <w:t xml:space="preserve">Stk. 7. </w:t>
            </w:r>
            <w:r w:rsidRPr="00E93010">
              <w:rPr>
                <w:rFonts w:ascii="Georgia" w:hAnsi="Georgia"/>
                <w:sz w:val="16"/>
                <w:szCs w:val="16"/>
              </w:rPr>
              <w:t xml:space="preserve">Ved beregning af klimapåvirkning fra materialer medregnes udskiftning af bygningsdele og byggematerialer ifølge levetider og principper som fastlagt i </w:t>
            </w:r>
            <w:proofErr w:type="spellStart"/>
            <w:r w:rsidRPr="00E93010">
              <w:rPr>
                <w:rFonts w:ascii="Georgia" w:hAnsi="Georgia"/>
                <w:sz w:val="16"/>
                <w:szCs w:val="16"/>
              </w:rPr>
              <w:t>BUILD</w:t>
            </w:r>
            <w:proofErr w:type="spellEnd"/>
            <w:r w:rsidRPr="00E93010">
              <w:rPr>
                <w:rFonts w:ascii="Georgia" w:hAnsi="Georgia"/>
                <w:sz w:val="16"/>
                <w:szCs w:val="16"/>
              </w:rPr>
              <w:t xml:space="preserve"> RAPPORT 2021:32 – </w:t>
            </w:r>
            <w:proofErr w:type="spellStart"/>
            <w:r w:rsidRPr="00E93010">
              <w:rPr>
                <w:rFonts w:ascii="Georgia" w:hAnsi="Georgia"/>
                <w:sz w:val="16"/>
                <w:szCs w:val="16"/>
              </w:rPr>
              <w:t>BUILD</w:t>
            </w:r>
            <w:proofErr w:type="spellEnd"/>
            <w:r w:rsidRPr="00E93010">
              <w:rPr>
                <w:rFonts w:ascii="Georgia" w:hAnsi="Georgia"/>
                <w:sz w:val="16"/>
                <w:szCs w:val="16"/>
              </w:rPr>
              <w:t xml:space="preserve"> levetidstabel – Version 2021.</w:t>
            </w:r>
          </w:p>
        </w:tc>
        <w:tc>
          <w:tcPr>
            <w:tcW w:w="4536" w:type="dxa"/>
            <w:shd w:val="clear" w:color="auto" w:fill="E7E6E6" w:themeFill="background2"/>
          </w:tcPr>
          <w:p w14:paraId="10F5BAA9" w14:textId="77777777" w:rsidR="0036588E" w:rsidRDefault="0036588E" w:rsidP="00324A26">
            <w:pPr>
              <w:pStyle w:val="TableParagraph"/>
              <w:ind w:right="162"/>
              <w:rPr>
                <w:sz w:val="16"/>
                <w:szCs w:val="16"/>
                <w:lang w:val="da-DK"/>
              </w:rPr>
            </w:pPr>
            <w:r w:rsidRPr="00E93010">
              <w:rPr>
                <w:sz w:val="16"/>
                <w:szCs w:val="16"/>
                <w:lang w:val="da-DK"/>
              </w:rPr>
              <w:t>For at opgøre klimapåvirkningen med en betragtningsperiode på 50 år skal udskiftninger af materialer og bygningsdele, som har en levetid under 50 år, medregnes. Udskiftningen skal opgøres ved at indregne, hvor mange gange en bestemt bygningsdel vil skulle udskiftes i løbet af 50 år. En bygningsdel med levetid på 20 år vil derfor skulle medregnes tre gange (oprindelig indbygning og to udskiftninger over 50 år).</w:t>
            </w:r>
          </w:p>
          <w:p w14:paraId="3E0694AD" w14:textId="77777777" w:rsidR="0036588E" w:rsidRDefault="0036588E" w:rsidP="00324A26">
            <w:pPr>
              <w:pStyle w:val="TableParagraph"/>
              <w:ind w:right="162"/>
              <w:rPr>
                <w:sz w:val="16"/>
                <w:szCs w:val="16"/>
                <w:lang w:val="da-DK"/>
              </w:rPr>
            </w:pPr>
          </w:p>
          <w:p w14:paraId="1D827BEE" w14:textId="77777777" w:rsidR="0036588E" w:rsidRPr="00A0014D" w:rsidRDefault="0036588E" w:rsidP="00324A26">
            <w:pPr>
              <w:pStyle w:val="TableParagraph"/>
              <w:ind w:right="162"/>
              <w:rPr>
                <w:sz w:val="16"/>
                <w:szCs w:val="16"/>
                <w:lang w:val="da-DK"/>
              </w:rPr>
            </w:pPr>
            <w:r w:rsidRPr="00E93010">
              <w:rPr>
                <w:sz w:val="16"/>
                <w:szCs w:val="16"/>
                <w:lang w:val="da-DK"/>
              </w:rPr>
              <w:t xml:space="preserve">Der henvises til principper og levetider som fastlagt i </w:t>
            </w:r>
            <w:proofErr w:type="spellStart"/>
            <w:r w:rsidRPr="00E93010">
              <w:rPr>
                <w:i/>
                <w:sz w:val="16"/>
                <w:szCs w:val="16"/>
                <w:lang w:val="da-DK"/>
              </w:rPr>
              <w:t>BUILD</w:t>
            </w:r>
            <w:proofErr w:type="spellEnd"/>
            <w:r w:rsidRPr="00E93010">
              <w:rPr>
                <w:i/>
                <w:sz w:val="16"/>
                <w:szCs w:val="16"/>
                <w:lang w:val="da-DK"/>
              </w:rPr>
              <w:t xml:space="preserve"> RAPPORT 2021:32 – </w:t>
            </w:r>
            <w:proofErr w:type="spellStart"/>
            <w:r w:rsidRPr="00E93010">
              <w:rPr>
                <w:i/>
                <w:sz w:val="16"/>
                <w:szCs w:val="16"/>
                <w:lang w:val="da-DK"/>
              </w:rPr>
              <w:t>BUILD</w:t>
            </w:r>
            <w:proofErr w:type="spellEnd"/>
            <w:r w:rsidRPr="00E93010">
              <w:rPr>
                <w:i/>
                <w:sz w:val="16"/>
                <w:szCs w:val="16"/>
                <w:lang w:val="da-DK"/>
              </w:rPr>
              <w:t xml:space="preserve"> levetidstabel – Version 2021.</w:t>
            </w:r>
          </w:p>
        </w:tc>
        <w:tc>
          <w:tcPr>
            <w:tcW w:w="3815" w:type="dxa"/>
          </w:tcPr>
          <w:p w14:paraId="31D90D16" w14:textId="77777777" w:rsidR="0036588E" w:rsidRPr="00E93010" w:rsidRDefault="0036588E" w:rsidP="00324A26">
            <w:pPr>
              <w:rPr>
                <w:rFonts w:ascii="Georgia" w:hAnsi="Georgia"/>
                <w:sz w:val="16"/>
                <w:szCs w:val="16"/>
              </w:rPr>
            </w:pPr>
          </w:p>
        </w:tc>
        <w:tc>
          <w:tcPr>
            <w:tcW w:w="2989" w:type="dxa"/>
          </w:tcPr>
          <w:p w14:paraId="6ED7E499" w14:textId="77777777" w:rsidR="0036588E" w:rsidRPr="00E93010" w:rsidRDefault="0036588E" w:rsidP="00324A26">
            <w:pPr>
              <w:rPr>
                <w:rFonts w:ascii="Georgia" w:hAnsi="Georgia"/>
                <w:sz w:val="16"/>
                <w:szCs w:val="16"/>
              </w:rPr>
            </w:pPr>
          </w:p>
        </w:tc>
      </w:tr>
      <w:tr w:rsidR="0036588E" w:rsidRPr="00E93010" w14:paraId="5761A4A7" w14:textId="77777777" w:rsidTr="00324A26">
        <w:tc>
          <w:tcPr>
            <w:tcW w:w="562" w:type="dxa"/>
            <w:shd w:val="clear" w:color="auto" w:fill="E7E6E6" w:themeFill="background2"/>
          </w:tcPr>
          <w:p w14:paraId="51EE9CC4"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4A00FD52" w14:textId="77777777" w:rsidR="0036588E" w:rsidRPr="00E93010" w:rsidRDefault="0036588E" w:rsidP="00324A26">
            <w:pPr>
              <w:rPr>
                <w:rFonts w:ascii="Georgia" w:hAnsi="Georgia"/>
                <w:sz w:val="16"/>
                <w:szCs w:val="16"/>
              </w:rPr>
            </w:pPr>
            <w:r w:rsidRPr="00E93010">
              <w:rPr>
                <w:rFonts w:ascii="Georgia" w:hAnsi="Georgia"/>
                <w:i/>
                <w:sz w:val="16"/>
                <w:szCs w:val="16"/>
              </w:rPr>
              <w:t xml:space="preserve">Stk. 8. </w:t>
            </w:r>
            <w:r w:rsidRPr="00E93010">
              <w:rPr>
                <w:rFonts w:ascii="Georgia" w:hAnsi="Georgia"/>
                <w:sz w:val="16"/>
                <w:szCs w:val="16"/>
              </w:rPr>
              <w:t>Klimapåvirkning fra driftsenergi beregnes på baggrund af energibehovet som beskrevet i §§ 250-256, omregnet til klimapåvirkning ifølge de emissionsfaktorer, som fremgår af bilag 2, tabel 8. Der medregnes alene det opvarmede etageareal som beskrevet i § 256, nr. 3.</w:t>
            </w:r>
          </w:p>
        </w:tc>
        <w:tc>
          <w:tcPr>
            <w:tcW w:w="4536" w:type="dxa"/>
            <w:shd w:val="clear" w:color="auto" w:fill="E7E6E6" w:themeFill="background2"/>
          </w:tcPr>
          <w:p w14:paraId="2302FEC5" w14:textId="77777777" w:rsidR="0036588E" w:rsidRPr="00E93010" w:rsidRDefault="0036588E" w:rsidP="00324A26">
            <w:pPr>
              <w:pStyle w:val="TableParagraph"/>
              <w:rPr>
                <w:sz w:val="16"/>
                <w:szCs w:val="16"/>
                <w:lang w:val="da-DK"/>
              </w:rPr>
            </w:pPr>
            <w:r w:rsidRPr="00E93010">
              <w:rPr>
                <w:sz w:val="16"/>
                <w:szCs w:val="16"/>
                <w:lang w:val="da-DK"/>
              </w:rPr>
              <w:t>Bygningens energibehov beregnes iht. §§ 250- 256.</w:t>
            </w:r>
          </w:p>
          <w:p w14:paraId="44F48616" w14:textId="77777777" w:rsidR="0036588E" w:rsidRPr="00E93010" w:rsidRDefault="0036588E" w:rsidP="00324A26">
            <w:pPr>
              <w:pStyle w:val="TableParagraph"/>
              <w:spacing w:before="9"/>
              <w:ind w:left="0"/>
              <w:rPr>
                <w:sz w:val="16"/>
                <w:szCs w:val="16"/>
                <w:lang w:val="da-DK"/>
              </w:rPr>
            </w:pPr>
          </w:p>
          <w:p w14:paraId="73C8CE82" w14:textId="77777777" w:rsidR="0036588E" w:rsidRDefault="0036588E" w:rsidP="00324A26">
            <w:pPr>
              <w:pStyle w:val="TableParagraph"/>
              <w:ind w:right="420"/>
              <w:rPr>
                <w:sz w:val="16"/>
                <w:szCs w:val="16"/>
                <w:lang w:val="da-DK"/>
              </w:rPr>
            </w:pPr>
            <w:r w:rsidRPr="00E93010">
              <w:rPr>
                <w:sz w:val="16"/>
                <w:szCs w:val="16"/>
                <w:lang w:val="da-DK"/>
              </w:rPr>
              <w:t>Bygningens energibehov omregnes til klimapåvirkning ved hjælp af emissionsfaktorerne fastsat i bekendtgørelsens bilag 2, tabel 8. Driftsenergiforbruget regnes for en betragtningsperiode på 50 år.</w:t>
            </w:r>
          </w:p>
          <w:p w14:paraId="79A74D3B" w14:textId="77777777" w:rsidR="0036588E" w:rsidRDefault="0036588E" w:rsidP="00324A26">
            <w:pPr>
              <w:pStyle w:val="TableParagraph"/>
              <w:ind w:right="420"/>
              <w:rPr>
                <w:sz w:val="16"/>
                <w:szCs w:val="16"/>
                <w:lang w:val="da-DK"/>
              </w:rPr>
            </w:pPr>
          </w:p>
          <w:p w14:paraId="224AC1F4" w14:textId="77777777" w:rsidR="0036588E" w:rsidRDefault="0036588E" w:rsidP="00324A26">
            <w:pPr>
              <w:pStyle w:val="TableParagraph"/>
              <w:ind w:right="420"/>
              <w:rPr>
                <w:sz w:val="16"/>
                <w:szCs w:val="16"/>
                <w:lang w:val="da-DK"/>
              </w:rPr>
            </w:pPr>
            <w:r w:rsidRPr="00E93010">
              <w:rPr>
                <w:sz w:val="16"/>
                <w:szCs w:val="16"/>
                <w:lang w:val="da-DK"/>
              </w:rPr>
              <w:t xml:space="preserve">Faktorerne for el og fjernvarme er baseret på 1 kWh og er fremskrevet i henhold til den forventede energiforsyning jf. ”Danmarks Energifremskrivning 2018” i rapporten ”Opdaterede emissionsfaktorer for el og fjernvarme” (COWI, 2020). Faktorerne for ledningsgas er fremskrevet jf. ”Klimastatus og fremskrivning 2021” fra Energistyrelsen (2021) og omdannet med værdier fra ”Emissions database for </w:t>
            </w:r>
            <w:proofErr w:type="spellStart"/>
            <w:r w:rsidRPr="00E93010">
              <w:rPr>
                <w:sz w:val="16"/>
                <w:szCs w:val="16"/>
                <w:lang w:val="da-DK"/>
              </w:rPr>
              <w:t>construction</w:t>
            </w:r>
            <w:proofErr w:type="spellEnd"/>
            <w:r w:rsidRPr="00E93010">
              <w:rPr>
                <w:sz w:val="16"/>
                <w:szCs w:val="16"/>
                <w:lang w:val="da-DK"/>
              </w:rPr>
              <w:t xml:space="preserve">” for </w:t>
            </w:r>
            <w:r w:rsidRPr="00E93010">
              <w:rPr>
                <w:i/>
                <w:sz w:val="16"/>
                <w:szCs w:val="16"/>
                <w:lang w:val="da-DK"/>
              </w:rPr>
              <w:t xml:space="preserve">Energy, biofules, </w:t>
            </w:r>
            <w:proofErr w:type="spellStart"/>
            <w:r w:rsidRPr="00E93010">
              <w:rPr>
                <w:i/>
                <w:sz w:val="16"/>
                <w:szCs w:val="16"/>
                <w:lang w:val="da-DK"/>
              </w:rPr>
              <w:t>decentralized</w:t>
            </w:r>
            <w:proofErr w:type="spellEnd"/>
            <w:r w:rsidRPr="00E93010">
              <w:rPr>
                <w:i/>
                <w:sz w:val="16"/>
                <w:szCs w:val="16"/>
                <w:lang w:val="da-DK"/>
              </w:rPr>
              <w:t xml:space="preserve"> heating </w:t>
            </w:r>
            <w:r w:rsidRPr="00E93010">
              <w:rPr>
                <w:sz w:val="16"/>
                <w:szCs w:val="16"/>
                <w:lang w:val="da-DK"/>
              </w:rPr>
              <w:t xml:space="preserve">og </w:t>
            </w:r>
            <w:r w:rsidRPr="00E93010">
              <w:rPr>
                <w:i/>
                <w:sz w:val="16"/>
                <w:szCs w:val="16"/>
                <w:lang w:val="da-DK"/>
              </w:rPr>
              <w:t xml:space="preserve">Energy, fossil </w:t>
            </w:r>
            <w:proofErr w:type="spellStart"/>
            <w:r w:rsidRPr="00E93010">
              <w:rPr>
                <w:i/>
                <w:sz w:val="16"/>
                <w:szCs w:val="16"/>
                <w:lang w:val="da-DK"/>
              </w:rPr>
              <w:t>fuels</w:t>
            </w:r>
            <w:proofErr w:type="spellEnd"/>
            <w:r w:rsidRPr="00E93010">
              <w:rPr>
                <w:i/>
                <w:sz w:val="16"/>
                <w:szCs w:val="16"/>
                <w:lang w:val="da-DK"/>
              </w:rPr>
              <w:t xml:space="preserve">, </w:t>
            </w:r>
            <w:proofErr w:type="spellStart"/>
            <w:r w:rsidRPr="00E93010">
              <w:rPr>
                <w:i/>
                <w:sz w:val="16"/>
                <w:szCs w:val="16"/>
                <w:lang w:val="da-DK"/>
              </w:rPr>
              <w:t>decentralized</w:t>
            </w:r>
            <w:proofErr w:type="spellEnd"/>
            <w:r w:rsidRPr="00E93010">
              <w:rPr>
                <w:i/>
                <w:sz w:val="16"/>
                <w:szCs w:val="16"/>
                <w:lang w:val="da-DK"/>
              </w:rPr>
              <w:t xml:space="preserve"> heating, </w:t>
            </w:r>
            <w:proofErr w:type="spellStart"/>
            <w:r w:rsidRPr="00E93010">
              <w:rPr>
                <w:sz w:val="16"/>
                <w:szCs w:val="16"/>
                <w:lang w:val="da-DK"/>
              </w:rPr>
              <w:t>CO2data.fi</w:t>
            </w:r>
            <w:proofErr w:type="spellEnd"/>
            <w:r w:rsidRPr="00E93010">
              <w:rPr>
                <w:sz w:val="16"/>
                <w:szCs w:val="16"/>
                <w:lang w:val="da-DK"/>
              </w:rPr>
              <w:t xml:space="preserve"> (2022).</w:t>
            </w:r>
          </w:p>
          <w:p w14:paraId="28FF6850" w14:textId="77777777" w:rsidR="0036588E" w:rsidRPr="00A0014D" w:rsidRDefault="0036588E" w:rsidP="00324A26">
            <w:pPr>
              <w:pStyle w:val="TableParagraph"/>
              <w:ind w:right="420"/>
              <w:rPr>
                <w:sz w:val="16"/>
                <w:szCs w:val="16"/>
                <w:lang w:val="da-DK"/>
              </w:rPr>
            </w:pPr>
          </w:p>
        </w:tc>
        <w:tc>
          <w:tcPr>
            <w:tcW w:w="3815" w:type="dxa"/>
          </w:tcPr>
          <w:p w14:paraId="69518127" w14:textId="77777777" w:rsidR="0036588E" w:rsidRPr="00E93010" w:rsidRDefault="0036588E" w:rsidP="00324A26">
            <w:pPr>
              <w:rPr>
                <w:rFonts w:ascii="Georgia" w:hAnsi="Georgia"/>
                <w:sz w:val="16"/>
                <w:szCs w:val="16"/>
              </w:rPr>
            </w:pPr>
          </w:p>
        </w:tc>
        <w:tc>
          <w:tcPr>
            <w:tcW w:w="2989" w:type="dxa"/>
          </w:tcPr>
          <w:p w14:paraId="76D4A8EE" w14:textId="77777777" w:rsidR="0036588E" w:rsidRPr="00E93010" w:rsidRDefault="0036588E" w:rsidP="00324A26">
            <w:pPr>
              <w:rPr>
                <w:rFonts w:ascii="Georgia" w:hAnsi="Georgia"/>
                <w:sz w:val="16"/>
                <w:szCs w:val="16"/>
              </w:rPr>
            </w:pPr>
          </w:p>
        </w:tc>
      </w:tr>
      <w:tr w:rsidR="0036588E" w:rsidRPr="00E93010" w14:paraId="65A2FABB" w14:textId="77777777" w:rsidTr="00324A26">
        <w:tc>
          <w:tcPr>
            <w:tcW w:w="562" w:type="dxa"/>
            <w:shd w:val="clear" w:color="auto" w:fill="E7E6E6" w:themeFill="background2"/>
          </w:tcPr>
          <w:p w14:paraId="57F66D9D"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23D7FCCC" w14:textId="77777777" w:rsidR="0036588E" w:rsidRPr="00E93010" w:rsidRDefault="0036588E" w:rsidP="00324A26">
            <w:pPr>
              <w:rPr>
                <w:rFonts w:ascii="Georgia" w:hAnsi="Georgia"/>
                <w:sz w:val="16"/>
                <w:szCs w:val="16"/>
              </w:rPr>
            </w:pPr>
            <w:r w:rsidRPr="00E93010">
              <w:rPr>
                <w:rFonts w:ascii="Georgia" w:hAnsi="Georgia"/>
                <w:i/>
                <w:sz w:val="16"/>
                <w:szCs w:val="16"/>
              </w:rPr>
              <w:t xml:space="preserve">Stk. 9. </w:t>
            </w:r>
            <w:r w:rsidRPr="00E93010">
              <w:rPr>
                <w:rFonts w:ascii="Georgia" w:hAnsi="Georgia"/>
                <w:sz w:val="16"/>
                <w:szCs w:val="16"/>
              </w:rPr>
              <w:t xml:space="preserve">Bygningsejer kan inkludere oplysning om, at byggeriet opfylder </w:t>
            </w:r>
            <w:r w:rsidRPr="00E93010">
              <w:rPr>
                <w:rFonts w:ascii="Georgia" w:hAnsi="Georgia"/>
                <w:position w:val="2"/>
                <w:sz w:val="16"/>
                <w:szCs w:val="16"/>
              </w:rPr>
              <w:t>lavemissionsklassen, hvis klimapåvirkningen er på højst 8,0 kg CO</w:t>
            </w:r>
            <w:r w:rsidRPr="00E93010">
              <w:rPr>
                <w:rFonts w:ascii="Georgia" w:hAnsi="Georgia"/>
                <w:sz w:val="16"/>
                <w:szCs w:val="16"/>
              </w:rPr>
              <w:t>2</w:t>
            </w:r>
            <w:r w:rsidRPr="00E93010">
              <w:rPr>
                <w:rFonts w:ascii="Georgia" w:hAnsi="Georgia"/>
                <w:position w:val="2"/>
                <w:sz w:val="16"/>
                <w:szCs w:val="16"/>
              </w:rPr>
              <w:t xml:space="preserve">- </w:t>
            </w:r>
            <w:r w:rsidRPr="00E93010">
              <w:rPr>
                <w:rFonts w:ascii="Georgia" w:hAnsi="Georgia"/>
                <w:sz w:val="16"/>
                <w:szCs w:val="16"/>
              </w:rPr>
              <w:t>ækvivalenter pr. m</w:t>
            </w:r>
            <w:r w:rsidRPr="00E93010">
              <w:rPr>
                <w:rFonts w:ascii="Georgia" w:hAnsi="Georgia"/>
                <w:position w:val="5"/>
                <w:sz w:val="16"/>
                <w:szCs w:val="16"/>
              </w:rPr>
              <w:t xml:space="preserve">2 </w:t>
            </w:r>
            <w:r w:rsidRPr="00E93010">
              <w:rPr>
                <w:rFonts w:ascii="Georgia" w:hAnsi="Georgia"/>
                <w:sz w:val="16"/>
                <w:szCs w:val="16"/>
              </w:rPr>
              <w:t>pr. år. Beregningen foretages med de justeringer, som følger af § 298, stk. 2-4.«</w:t>
            </w:r>
          </w:p>
        </w:tc>
        <w:tc>
          <w:tcPr>
            <w:tcW w:w="4536" w:type="dxa"/>
            <w:shd w:val="clear" w:color="auto" w:fill="E7E6E6" w:themeFill="background2"/>
          </w:tcPr>
          <w:p w14:paraId="3009F301" w14:textId="77777777" w:rsidR="0036588E" w:rsidRDefault="0036588E" w:rsidP="00324A26">
            <w:pPr>
              <w:ind w:left="35"/>
              <w:rPr>
                <w:rFonts w:ascii="Georgia" w:hAnsi="Georgia"/>
                <w:position w:val="2"/>
                <w:sz w:val="16"/>
                <w:szCs w:val="16"/>
              </w:rPr>
            </w:pPr>
            <w:r w:rsidRPr="00E93010">
              <w:rPr>
                <w:rFonts w:ascii="Georgia" w:hAnsi="Georgia"/>
                <w:position w:val="2"/>
                <w:sz w:val="16"/>
                <w:szCs w:val="16"/>
              </w:rPr>
              <w:t>Aftalen om national strategi for bæredygtigt byggeri indeholder beslutning om en ”frivillig CO</w:t>
            </w:r>
            <w:r w:rsidRPr="00E93010">
              <w:rPr>
                <w:rFonts w:ascii="Georgia" w:hAnsi="Georgia"/>
                <w:sz w:val="16"/>
                <w:szCs w:val="16"/>
              </w:rPr>
              <w:t>2</w:t>
            </w:r>
            <w:r w:rsidRPr="00E93010">
              <w:rPr>
                <w:rFonts w:ascii="Georgia" w:hAnsi="Georgia"/>
                <w:position w:val="2"/>
                <w:sz w:val="16"/>
                <w:szCs w:val="16"/>
              </w:rPr>
              <w:t>-klasse” med en grænseværdi på maks. 8,0 kg CO</w:t>
            </w:r>
            <w:r w:rsidRPr="00E93010">
              <w:rPr>
                <w:rFonts w:ascii="Georgia" w:hAnsi="Georgia"/>
                <w:sz w:val="16"/>
                <w:szCs w:val="16"/>
              </w:rPr>
              <w:t>2</w:t>
            </w:r>
            <w:r w:rsidRPr="00E93010">
              <w:rPr>
                <w:rFonts w:ascii="Georgia" w:hAnsi="Georgia"/>
                <w:position w:val="2"/>
                <w:sz w:val="16"/>
                <w:szCs w:val="16"/>
              </w:rPr>
              <w:t xml:space="preserve">- </w:t>
            </w:r>
            <w:r w:rsidRPr="00E93010">
              <w:rPr>
                <w:rFonts w:ascii="Georgia" w:hAnsi="Georgia"/>
                <w:sz w:val="16"/>
                <w:szCs w:val="16"/>
              </w:rPr>
              <w:t>ækvivalenter pr. m</w:t>
            </w:r>
            <w:r w:rsidRPr="00E93010">
              <w:rPr>
                <w:rFonts w:ascii="Georgia" w:hAnsi="Georgia"/>
                <w:position w:val="5"/>
                <w:sz w:val="16"/>
                <w:szCs w:val="16"/>
              </w:rPr>
              <w:t xml:space="preserve">2 </w:t>
            </w:r>
            <w:r w:rsidRPr="00E93010">
              <w:rPr>
                <w:rFonts w:ascii="Georgia" w:hAnsi="Georgia"/>
                <w:sz w:val="16"/>
                <w:szCs w:val="16"/>
              </w:rPr>
              <w:t xml:space="preserve">pr. år. Den frivillige klasse omtales i bekendtgørelsen som lavemissionsklasse og er medtaget i bekendtgørelsen for at fremhæve </w:t>
            </w:r>
            <w:r w:rsidRPr="00E93010">
              <w:rPr>
                <w:rFonts w:ascii="Georgia" w:hAnsi="Georgia"/>
                <w:position w:val="2"/>
                <w:sz w:val="16"/>
                <w:szCs w:val="16"/>
              </w:rPr>
              <w:t>muligheden for at oplyse informationer om, at bygningens klimapåvirkning er på eller under 8,0 kg CO</w:t>
            </w:r>
            <w:r w:rsidRPr="00E93010">
              <w:rPr>
                <w:rFonts w:ascii="Georgia" w:hAnsi="Georgia"/>
                <w:sz w:val="16"/>
                <w:szCs w:val="16"/>
              </w:rPr>
              <w:t>2</w:t>
            </w:r>
            <w:r w:rsidRPr="00E93010">
              <w:rPr>
                <w:rFonts w:ascii="Georgia" w:hAnsi="Georgia"/>
                <w:position w:val="2"/>
                <w:sz w:val="16"/>
                <w:szCs w:val="16"/>
              </w:rPr>
              <w:t>-ækvivalenter pr. m</w:t>
            </w:r>
            <w:r w:rsidRPr="00E93010">
              <w:rPr>
                <w:rFonts w:ascii="Georgia" w:hAnsi="Georgia"/>
                <w:position w:val="7"/>
                <w:sz w:val="16"/>
                <w:szCs w:val="16"/>
              </w:rPr>
              <w:t xml:space="preserve">2 </w:t>
            </w:r>
            <w:r w:rsidRPr="00E93010">
              <w:rPr>
                <w:rFonts w:ascii="Georgia" w:hAnsi="Georgia"/>
                <w:position w:val="2"/>
                <w:sz w:val="16"/>
                <w:szCs w:val="16"/>
              </w:rPr>
              <w:t>pr. år.</w:t>
            </w:r>
          </w:p>
          <w:p w14:paraId="08BC3F7D" w14:textId="77777777" w:rsidR="0036588E" w:rsidRPr="00E93010" w:rsidRDefault="0036588E" w:rsidP="00324A26">
            <w:pPr>
              <w:ind w:left="35"/>
              <w:rPr>
                <w:rFonts w:ascii="Georgia" w:hAnsi="Georgia"/>
                <w:sz w:val="16"/>
                <w:szCs w:val="16"/>
              </w:rPr>
            </w:pPr>
          </w:p>
        </w:tc>
        <w:tc>
          <w:tcPr>
            <w:tcW w:w="3815" w:type="dxa"/>
          </w:tcPr>
          <w:p w14:paraId="38DC54E2" w14:textId="77777777" w:rsidR="0036588E" w:rsidRPr="00E93010" w:rsidRDefault="0036588E" w:rsidP="00324A26">
            <w:pPr>
              <w:rPr>
                <w:rFonts w:ascii="Georgia" w:hAnsi="Georgia"/>
                <w:sz w:val="16"/>
                <w:szCs w:val="16"/>
              </w:rPr>
            </w:pPr>
          </w:p>
        </w:tc>
        <w:tc>
          <w:tcPr>
            <w:tcW w:w="2989" w:type="dxa"/>
          </w:tcPr>
          <w:p w14:paraId="77B13DF6" w14:textId="77777777" w:rsidR="0036588E" w:rsidRPr="00E93010" w:rsidRDefault="0036588E" w:rsidP="00324A26">
            <w:pPr>
              <w:rPr>
                <w:rFonts w:ascii="Georgia" w:hAnsi="Georgia"/>
                <w:sz w:val="16"/>
                <w:szCs w:val="16"/>
              </w:rPr>
            </w:pPr>
          </w:p>
        </w:tc>
      </w:tr>
      <w:tr w:rsidR="0036588E" w:rsidRPr="00E93010" w14:paraId="1BA811A5" w14:textId="77777777" w:rsidTr="00324A26">
        <w:tc>
          <w:tcPr>
            <w:tcW w:w="562" w:type="dxa"/>
            <w:shd w:val="clear" w:color="auto" w:fill="E7E6E6" w:themeFill="background2"/>
          </w:tcPr>
          <w:p w14:paraId="3879B538" w14:textId="77777777" w:rsidR="0036588E" w:rsidRPr="00E93010" w:rsidRDefault="0036588E" w:rsidP="00324A26">
            <w:pPr>
              <w:rPr>
                <w:rFonts w:ascii="Georgia" w:hAnsi="Georgia"/>
                <w:sz w:val="16"/>
                <w:szCs w:val="16"/>
              </w:rPr>
            </w:pPr>
            <w:r w:rsidRPr="00E93010">
              <w:rPr>
                <w:rFonts w:ascii="Georgia" w:hAnsi="Georgia"/>
                <w:b/>
                <w:sz w:val="16"/>
                <w:szCs w:val="16"/>
              </w:rPr>
              <w:t>11.</w:t>
            </w:r>
          </w:p>
        </w:tc>
        <w:tc>
          <w:tcPr>
            <w:tcW w:w="3544" w:type="dxa"/>
            <w:shd w:val="clear" w:color="auto" w:fill="E7E6E6" w:themeFill="background2"/>
          </w:tcPr>
          <w:p w14:paraId="302A04A7" w14:textId="77777777" w:rsidR="0036588E" w:rsidRDefault="0036588E" w:rsidP="00324A26">
            <w:pPr>
              <w:pStyle w:val="TableParagraph"/>
              <w:ind w:left="100"/>
              <w:rPr>
                <w:sz w:val="16"/>
                <w:szCs w:val="16"/>
                <w:lang w:val="da-DK"/>
              </w:rPr>
            </w:pPr>
            <w:r w:rsidRPr="00E93010">
              <w:rPr>
                <w:sz w:val="16"/>
                <w:szCs w:val="16"/>
                <w:lang w:val="da-DK"/>
              </w:rPr>
              <w:t xml:space="preserve">§ </w:t>
            </w:r>
            <w:r w:rsidRPr="00E93010">
              <w:rPr>
                <w:i/>
                <w:sz w:val="16"/>
                <w:szCs w:val="16"/>
                <w:lang w:val="da-DK"/>
              </w:rPr>
              <w:t xml:space="preserve">298 </w:t>
            </w:r>
            <w:r w:rsidRPr="00E93010">
              <w:rPr>
                <w:sz w:val="16"/>
                <w:szCs w:val="16"/>
                <w:lang w:val="da-DK"/>
              </w:rPr>
              <w:t>affattes således:</w:t>
            </w:r>
          </w:p>
          <w:p w14:paraId="5701564E" w14:textId="77777777" w:rsidR="0036588E" w:rsidRPr="00E93010" w:rsidRDefault="0036588E" w:rsidP="00324A26">
            <w:pPr>
              <w:pStyle w:val="TableParagraph"/>
              <w:ind w:left="100"/>
              <w:rPr>
                <w:sz w:val="16"/>
                <w:szCs w:val="16"/>
                <w:lang w:val="da-DK"/>
              </w:rPr>
            </w:pPr>
          </w:p>
          <w:p w14:paraId="6958CDCB" w14:textId="77777777" w:rsidR="0036588E" w:rsidRPr="00E93010" w:rsidRDefault="0036588E" w:rsidP="00324A26">
            <w:pPr>
              <w:rPr>
                <w:rFonts w:ascii="Georgia" w:hAnsi="Georgia"/>
                <w:sz w:val="16"/>
                <w:szCs w:val="16"/>
              </w:rPr>
            </w:pPr>
            <w:r w:rsidRPr="00E93010">
              <w:rPr>
                <w:rFonts w:ascii="Georgia" w:hAnsi="Georgia"/>
                <w:sz w:val="16"/>
                <w:szCs w:val="16"/>
              </w:rPr>
              <w:t>»</w:t>
            </w:r>
            <w:r w:rsidRPr="00E93010">
              <w:rPr>
                <w:rFonts w:ascii="Georgia" w:hAnsi="Georgia"/>
                <w:b/>
                <w:sz w:val="16"/>
                <w:szCs w:val="16"/>
              </w:rPr>
              <w:t xml:space="preserve">§ 298. </w:t>
            </w:r>
            <w:r w:rsidRPr="00E93010">
              <w:rPr>
                <w:rFonts w:ascii="Georgia" w:hAnsi="Georgia"/>
                <w:sz w:val="16"/>
                <w:szCs w:val="16"/>
              </w:rPr>
              <w:t>For bygninger, som er omfattet af § 297, og som har et opvarmet etageareal, jf. § 256, på over 1000 m</w:t>
            </w:r>
            <w:r w:rsidRPr="00E93010">
              <w:rPr>
                <w:rFonts w:ascii="Georgia" w:hAnsi="Georgia"/>
                <w:position w:val="5"/>
                <w:sz w:val="16"/>
                <w:szCs w:val="16"/>
              </w:rPr>
              <w:t>2</w:t>
            </w:r>
            <w:r w:rsidRPr="00E93010">
              <w:rPr>
                <w:rFonts w:ascii="Georgia" w:hAnsi="Georgia"/>
                <w:sz w:val="16"/>
                <w:szCs w:val="16"/>
              </w:rPr>
              <w:t xml:space="preserve">, må klimapåvirkningen, ifølge tilsvarende beregningsforudsætninger som beskrevet i § 297 med </w:t>
            </w:r>
            <w:r w:rsidRPr="00E93010">
              <w:rPr>
                <w:rFonts w:ascii="Georgia" w:hAnsi="Georgia"/>
                <w:position w:val="2"/>
                <w:sz w:val="16"/>
                <w:szCs w:val="16"/>
              </w:rPr>
              <w:t>de ændringer, som følger af stk. 2–4, ikke overstige 12,0 kg CO</w:t>
            </w:r>
            <w:r w:rsidRPr="00E93010">
              <w:rPr>
                <w:rFonts w:ascii="Georgia" w:hAnsi="Georgia"/>
                <w:sz w:val="16"/>
                <w:szCs w:val="16"/>
              </w:rPr>
              <w:t>2</w:t>
            </w:r>
            <w:r w:rsidRPr="00E93010">
              <w:rPr>
                <w:rFonts w:ascii="Georgia" w:hAnsi="Georgia"/>
                <w:position w:val="2"/>
                <w:sz w:val="16"/>
                <w:szCs w:val="16"/>
              </w:rPr>
              <w:t xml:space="preserve">- </w:t>
            </w:r>
            <w:r w:rsidRPr="00E93010">
              <w:rPr>
                <w:rFonts w:ascii="Georgia" w:hAnsi="Georgia"/>
                <w:sz w:val="16"/>
                <w:szCs w:val="16"/>
              </w:rPr>
              <w:t>ækvivalenter pr. m</w:t>
            </w:r>
            <w:r w:rsidRPr="00E93010">
              <w:rPr>
                <w:rFonts w:ascii="Georgia" w:hAnsi="Georgia"/>
                <w:position w:val="5"/>
                <w:sz w:val="16"/>
                <w:szCs w:val="16"/>
              </w:rPr>
              <w:t xml:space="preserve">2 </w:t>
            </w:r>
            <w:r w:rsidRPr="00E93010">
              <w:rPr>
                <w:rFonts w:ascii="Georgia" w:hAnsi="Georgia"/>
                <w:sz w:val="16"/>
                <w:szCs w:val="16"/>
              </w:rPr>
              <w:t>pr. år.</w:t>
            </w:r>
          </w:p>
        </w:tc>
        <w:tc>
          <w:tcPr>
            <w:tcW w:w="4536" w:type="dxa"/>
            <w:shd w:val="clear" w:color="auto" w:fill="E7E6E6" w:themeFill="background2"/>
          </w:tcPr>
          <w:p w14:paraId="0EDBCE53" w14:textId="77777777" w:rsidR="0036588E" w:rsidRPr="00E93010" w:rsidRDefault="0036588E" w:rsidP="00324A26">
            <w:pPr>
              <w:pStyle w:val="TableParagraph"/>
              <w:ind w:right="723"/>
              <w:rPr>
                <w:sz w:val="16"/>
                <w:szCs w:val="16"/>
                <w:lang w:val="da-DK"/>
              </w:rPr>
            </w:pPr>
            <w:r w:rsidRPr="00E93010">
              <w:rPr>
                <w:sz w:val="16"/>
                <w:szCs w:val="16"/>
                <w:lang w:val="da-DK"/>
              </w:rPr>
              <w:t xml:space="preserve">Det fremgår af bemærkningerne til seneste ændring af byggeloven, at der på baggrund af aftalen om national strategi for bæredygtigt byggeri </w:t>
            </w:r>
            <w:r w:rsidRPr="00E93010">
              <w:rPr>
                <w:position w:val="2"/>
                <w:sz w:val="16"/>
                <w:szCs w:val="16"/>
                <w:lang w:val="da-DK"/>
              </w:rPr>
              <w:t>fastsættes krav i bygningsreglementet om maksimal CO</w:t>
            </w:r>
            <w:r w:rsidRPr="00E93010">
              <w:rPr>
                <w:sz w:val="16"/>
                <w:szCs w:val="16"/>
                <w:lang w:val="da-DK"/>
              </w:rPr>
              <w:t>2</w:t>
            </w:r>
            <w:r w:rsidRPr="00E93010">
              <w:rPr>
                <w:position w:val="2"/>
                <w:sz w:val="16"/>
                <w:szCs w:val="16"/>
                <w:lang w:val="da-DK"/>
              </w:rPr>
              <w:t>-grænseværdi set over en bygnings levetid. CO</w:t>
            </w:r>
            <w:r w:rsidRPr="00E93010">
              <w:rPr>
                <w:sz w:val="16"/>
                <w:szCs w:val="16"/>
                <w:lang w:val="da-DK"/>
              </w:rPr>
              <w:t>2</w:t>
            </w:r>
            <w:r w:rsidRPr="00E93010">
              <w:rPr>
                <w:position w:val="2"/>
                <w:sz w:val="16"/>
                <w:szCs w:val="16"/>
                <w:lang w:val="da-DK"/>
              </w:rPr>
              <w:t>-grænseværdien er en grænse for, hvor mange CO</w:t>
            </w:r>
            <w:r w:rsidRPr="00E93010">
              <w:rPr>
                <w:sz w:val="16"/>
                <w:szCs w:val="16"/>
                <w:lang w:val="da-DK"/>
              </w:rPr>
              <w:t>2</w:t>
            </w:r>
            <w:r w:rsidRPr="00E93010">
              <w:rPr>
                <w:position w:val="2"/>
                <w:sz w:val="16"/>
                <w:szCs w:val="16"/>
                <w:lang w:val="da-DK"/>
              </w:rPr>
              <w:t>-ækvivalenter, en bygning må udlede. Det følger af aftalen, at der fra 2023 skal indføres CO</w:t>
            </w:r>
            <w:r w:rsidRPr="00E93010">
              <w:rPr>
                <w:sz w:val="16"/>
                <w:szCs w:val="16"/>
                <w:lang w:val="da-DK"/>
              </w:rPr>
              <w:t>2</w:t>
            </w:r>
            <w:r w:rsidRPr="00E93010">
              <w:rPr>
                <w:position w:val="2"/>
                <w:sz w:val="16"/>
                <w:szCs w:val="16"/>
                <w:lang w:val="da-DK"/>
              </w:rPr>
              <w:t>-grænseværdi for nybyggeri over 1.000 kvadratmeter, svarende til 12,0 kg CO</w:t>
            </w:r>
            <w:r w:rsidRPr="00E93010">
              <w:rPr>
                <w:sz w:val="16"/>
                <w:szCs w:val="16"/>
                <w:lang w:val="da-DK"/>
              </w:rPr>
              <w:t>2</w:t>
            </w:r>
            <w:r w:rsidRPr="00E93010">
              <w:rPr>
                <w:position w:val="2"/>
                <w:sz w:val="16"/>
                <w:szCs w:val="16"/>
                <w:lang w:val="da-DK"/>
              </w:rPr>
              <w:t>-ækvivalenter pr. m</w:t>
            </w:r>
            <w:r w:rsidRPr="00E93010">
              <w:rPr>
                <w:position w:val="7"/>
                <w:sz w:val="16"/>
                <w:szCs w:val="16"/>
                <w:lang w:val="da-DK"/>
              </w:rPr>
              <w:t xml:space="preserve">2 </w:t>
            </w:r>
            <w:r w:rsidRPr="00E93010">
              <w:rPr>
                <w:position w:val="2"/>
                <w:sz w:val="16"/>
                <w:szCs w:val="16"/>
                <w:lang w:val="da-DK"/>
              </w:rPr>
              <w:t>pr. år.</w:t>
            </w:r>
          </w:p>
          <w:p w14:paraId="2186F702" w14:textId="77777777" w:rsidR="0036588E" w:rsidRPr="00E93010" w:rsidRDefault="0036588E" w:rsidP="00324A26">
            <w:pPr>
              <w:pStyle w:val="TableParagraph"/>
              <w:spacing w:before="2"/>
              <w:ind w:left="0"/>
              <w:rPr>
                <w:sz w:val="16"/>
                <w:szCs w:val="16"/>
                <w:lang w:val="da-DK"/>
              </w:rPr>
            </w:pPr>
          </w:p>
          <w:p w14:paraId="51BECBB0" w14:textId="77777777" w:rsidR="0036588E" w:rsidRPr="00E93010" w:rsidRDefault="0036588E" w:rsidP="00324A26">
            <w:pPr>
              <w:pStyle w:val="TableParagraph"/>
              <w:ind w:right="420"/>
              <w:rPr>
                <w:sz w:val="16"/>
                <w:szCs w:val="16"/>
                <w:lang w:val="da-DK"/>
              </w:rPr>
            </w:pPr>
            <w:r w:rsidRPr="00E93010">
              <w:rPr>
                <w:sz w:val="16"/>
                <w:szCs w:val="16"/>
                <w:lang w:val="da-DK"/>
              </w:rPr>
              <w:t>Beregningen for bygningens klimapåvirkning skal følge beregningsforudsætningerne jf. § 297. Dokumentationen for § 298 skal opgøres med de ændringer som følger af stk. 2-4.</w:t>
            </w:r>
          </w:p>
          <w:p w14:paraId="1F98EF1D" w14:textId="77777777" w:rsidR="0036588E" w:rsidRPr="00E93010" w:rsidRDefault="0036588E" w:rsidP="00324A26">
            <w:pPr>
              <w:pStyle w:val="TableParagraph"/>
              <w:spacing w:before="2"/>
              <w:ind w:left="0"/>
              <w:rPr>
                <w:sz w:val="16"/>
                <w:szCs w:val="16"/>
                <w:lang w:val="da-DK"/>
              </w:rPr>
            </w:pPr>
          </w:p>
          <w:p w14:paraId="4919ECA6" w14:textId="77777777" w:rsidR="0036588E" w:rsidRPr="00E93010" w:rsidRDefault="0036588E" w:rsidP="00324A26">
            <w:pPr>
              <w:pStyle w:val="TableParagraph"/>
              <w:ind w:left="102" w:right="163"/>
              <w:jc w:val="both"/>
              <w:rPr>
                <w:sz w:val="16"/>
                <w:szCs w:val="16"/>
                <w:lang w:val="da-DK"/>
              </w:rPr>
            </w:pPr>
            <w:r w:rsidRPr="00E93010">
              <w:rPr>
                <w:sz w:val="16"/>
                <w:szCs w:val="16"/>
                <w:lang w:val="da-DK"/>
              </w:rPr>
              <w:t xml:space="preserve">Ved ansøgningen om byggetilladelse skal ansøgeren redegøre for, hvilke tekniske forhold i bygningsreglementet, som er relevante for byggearbejdet, jf. § 10, stk. 1, nr. 5). Som det fremgår af vejledningen til </w:t>
            </w:r>
            <w:proofErr w:type="spellStart"/>
            <w:r w:rsidRPr="00E93010">
              <w:rPr>
                <w:sz w:val="16"/>
                <w:szCs w:val="16"/>
                <w:lang w:val="da-DK"/>
              </w:rPr>
              <w:t>BR18</w:t>
            </w:r>
            <w:proofErr w:type="spellEnd"/>
            <w:r w:rsidRPr="00E93010">
              <w:rPr>
                <w:sz w:val="16"/>
                <w:szCs w:val="16"/>
                <w:lang w:val="da-DK"/>
              </w:rPr>
              <w:t>, vil det være tilstrækkeligt at redegøre på kapitelniveau, dvs. at erklære, at kapitlet om energiforbrug og klimapåvirkning (kapitel 11) er relevant. Det gælder uanset, om byggeriet er underlagt grænseværdi eller ej. Det betyder, at reglerne om grænseværdi ikke indgår i kommunens vurdering af, om der skal gives byggetilladelse.</w:t>
            </w:r>
          </w:p>
          <w:p w14:paraId="0298703A" w14:textId="77777777" w:rsidR="0036588E" w:rsidRPr="00E93010" w:rsidRDefault="0036588E" w:rsidP="00324A26">
            <w:pPr>
              <w:pStyle w:val="TableParagraph"/>
              <w:spacing w:before="4"/>
              <w:ind w:left="0"/>
              <w:rPr>
                <w:sz w:val="16"/>
                <w:szCs w:val="16"/>
                <w:lang w:val="da-DK"/>
              </w:rPr>
            </w:pPr>
          </w:p>
          <w:p w14:paraId="2D162555" w14:textId="77777777" w:rsidR="0036588E" w:rsidRDefault="0036588E" w:rsidP="00324A26">
            <w:pPr>
              <w:pStyle w:val="TableParagraph"/>
              <w:ind w:left="102" w:right="105"/>
              <w:rPr>
                <w:sz w:val="16"/>
                <w:szCs w:val="16"/>
                <w:lang w:val="da-DK"/>
              </w:rPr>
            </w:pPr>
            <w:r w:rsidRPr="00E93010">
              <w:rPr>
                <w:sz w:val="16"/>
                <w:szCs w:val="16"/>
                <w:lang w:val="da-DK"/>
              </w:rPr>
              <w:t xml:space="preserve">Ved færdigmelding skal foreligge en beregning af bygningens klimapåvirkning fra </w:t>
            </w:r>
            <w:r>
              <w:rPr>
                <w:sz w:val="16"/>
                <w:szCs w:val="16"/>
                <w:lang w:val="da-DK"/>
              </w:rPr>
              <w:t>f</w:t>
            </w:r>
            <w:r w:rsidRPr="00E93010">
              <w:rPr>
                <w:sz w:val="16"/>
                <w:szCs w:val="16"/>
                <w:lang w:val="da-DK"/>
              </w:rPr>
              <w:t xml:space="preserve">ærdigmeldingstidspunktet og 50 år frem, jf. bestemmelsen i § 297, </w:t>
            </w:r>
            <w:r w:rsidRPr="00E93010">
              <w:rPr>
                <w:position w:val="2"/>
                <w:sz w:val="16"/>
                <w:szCs w:val="16"/>
                <w:lang w:val="da-DK"/>
              </w:rPr>
              <w:t>stk. 1. _Beregningen af klimapåvirkning skal herefter påvise et niveau på under grænseværdien (12,0 kg CO</w:t>
            </w:r>
            <w:r w:rsidRPr="00E93010">
              <w:rPr>
                <w:sz w:val="16"/>
                <w:szCs w:val="16"/>
                <w:lang w:val="da-DK"/>
              </w:rPr>
              <w:t>2</w:t>
            </w:r>
            <w:r w:rsidRPr="00E93010">
              <w:rPr>
                <w:position w:val="2"/>
                <w:sz w:val="16"/>
                <w:szCs w:val="16"/>
                <w:lang w:val="da-DK"/>
              </w:rPr>
              <w:t>-ækvivalenter pr. m</w:t>
            </w:r>
            <w:r w:rsidRPr="00E93010">
              <w:rPr>
                <w:position w:val="7"/>
                <w:sz w:val="16"/>
                <w:szCs w:val="16"/>
                <w:lang w:val="da-DK"/>
              </w:rPr>
              <w:t xml:space="preserve">2 </w:t>
            </w:r>
            <w:r w:rsidRPr="00E93010">
              <w:rPr>
                <w:position w:val="2"/>
                <w:sz w:val="16"/>
                <w:szCs w:val="16"/>
                <w:lang w:val="da-DK"/>
              </w:rPr>
              <w:t xml:space="preserve">pr. år). Det bliver </w:t>
            </w:r>
            <w:r w:rsidRPr="00E93010">
              <w:rPr>
                <w:sz w:val="16"/>
                <w:szCs w:val="16"/>
                <w:lang w:val="da-DK"/>
              </w:rPr>
              <w:t>således først på tidspunktet for færdigmelding, at det afgøres, om byggeriet er lovligt eller ej. Det er bygningsejers ansvar at sikre kravets overholdelse. Der kan med fordel udarbejdes beregninger for byggeriet løbende, så risikoen for overskridelse minimeres.</w:t>
            </w:r>
          </w:p>
          <w:p w14:paraId="45A2F391" w14:textId="77777777" w:rsidR="0036588E" w:rsidRDefault="0036588E" w:rsidP="00324A26">
            <w:pPr>
              <w:pStyle w:val="TableParagraph"/>
              <w:ind w:left="102" w:right="105"/>
              <w:rPr>
                <w:sz w:val="16"/>
                <w:szCs w:val="16"/>
                <w:lang w:val="da-DK"/>
              </w:rPr>
            </w:pPr>
          </w:p>
          <w:p w14:paraId="1766C94F" w14:textId="77777777" w:rsidR="0036588E" w:rsidRDefault="0036588E" w:rsidP="00324A26">
            <w:pPr>
              <w:pStyle w:val="TableParagraph"/>
              <w:ind w:left="102" w:right="105"/>
              <w:rPr>
                <w:sz w:val="16"/>
                <w:szCs w:val="16"/>
                <w:lang w:val="da-DK"/>
              </w:rPr>
            </w:pPr>
            <w:r w:rsidRPr="00E93010">
              <w:rPr>
                <w:sz w:val="16"/>
                <w:szCs w:val="16"/>
                <w:lang w:val="da-DK"/>
              </w:rPr>
              <w:t>Hvis kommunen i en efterfølgende stikprøvekontrol konstaterer, at grænseværdien var overskredet, er denne bestemmelse i bygningsreglementet derfor overtrådt, og der vil kunne straffes med bøde ifølge den eksisterende bestemmelse i § 564.</w:t>
            </w:r>
          </w:p>
          <w:p w14:paraId="5D45A80D" w14:textId="77777777" w:rsidR="0036588E" w:rsidRDefault="0036588E" w:rsidP="00324A26">
            <w:pPr>
              <w:pStyle w:val="TableParagraph"/>
              <w:ind w:left="102" w:right="105"/>
              <w:rPr>
                <w:sz w:val="16"/>
                <w:szCs w:val="16"/>
                <w:lang w:val="da-DK"/>
              </w:rPr>
            </w:pPr>
          </w:p>
          <w:p w14:paraId="544CD815" w14:textId="77777777" w:rsidR="0036588E" w:rsidRDefault="0036588E" w:rsidP="00324A26">
            <w:pPr>
              <w:pStyle w:val="TableParagraph"/>
              <w:ind w:left="102" w:right="105"/>
              <w:rPr>
                <w:sz w:val="16"/>
                <w:szCs w:val="16"/>
                <w:lang w:val="da-DK"/>
              </w:rPr>
            </w:pPr>
            <w:r w:rsidRPr="00E93010">
              <w:rPr>
                <w:sz w:val="16"/>
                <w:szCs w:val="16"/>
                <w:lang w:val="da-DK"/>
              </w:rPr>
              <w:t>Uanset om der gives bøde, bør der endvidere tages stilling til, hvordan der kan lovliggøres, herunder om der er mulighed for fysisk lovliggørelse ved fx at installere vedvarende energi eller på anden vis reducere driftsenergiforbruget. Hvis situationen opstår, at byggeriet ikke vil kunne lovliggøres på anden måde end ved at rive ned med et spild til følge, kan kommunen vurdere, om der er grundlag for at bringe byggelovens § 22 i anvendelse og dermed undgå nedrivning. I så fald vil det samtidig være nærliggende at politianmelde.</w:t>
            </w:r>
          </w:p>
          <w:p w14:paraId="230A83E8" w14:textId="77777777" w:rsidR="0036588E" w:rsidRDefault="0036588E" w:rsidP="00324A26">
            <w:pPr>
              <w:pStyle w:val="TableParagraph"/>
              <w:ind w:left="102" w:right="105"/>
              <w:rPr>
                <w:sz w:val="16"/>
                <w:szCs w:val="16"/>
                <w:lang w:val="da-DK"/>
              </w:rPr>
            </w:pPr>
          </w:p>
          <w:p w14:paraId="657332CC" w14:textId="77777777" w:rsidR="0036588E" w:rsidRDefault="0036588E" w:rsidP="00324A26">
            <w:pPr>
              <w:pStyle w:val="TableParagraph"/>
              <w:ind w:left="102" w:right="105"/>
              <w:rPr>
                <w:sz w:val="16"/>
                <w:szCs w:val="16"/>
                <w:lang w:val="da-DK"/>
              </w:rPr>
            </w:pPr>
            <w:r w:rsidRPr="00E93010">
              <w:rPr>
                <w:sz w:val="16"/>
                <w:szCs w:val="16"/>
                <w:lang w:val="da-DK"/>
              </w:rPr>
              <w:t>Bolig- og Planstyrelsen vil frem mod næste justering af grænseværdien i 2025 undersøge om der er behov for yderligere håndhævelsesmæssige tiltag, herunder en undersøgelse af en mulighed for en form for klimakompensation for bygninger, der ikke overholder grænseværdien.</w:t>
            </w:r>
          </w:p>
          <w:p w14:paraId="0F709BF2" w14:textId="77777777" w:rsidR="0036588E" w:rsidRPr="00245894" w:rsidRDefault="0036588E" w:rsidP="00324A26">
            <w:pPr>
              <w:pStyle w:val="TableParagraph"/>
              <w:ind w:left="102" w:right="105"/>
              <w:rPr>
                <w:sz w:val="16"/>
                <w:szCs w:val="16"/>
                <w:lang w:val="da-DK"/>
              </w:rPr>
            </w:pPr>
          </w:p>
        </w:tc>
        <w:tc>
          <w:tcPr>
            <w:tcW w:w="3815" w:type="dxa"/>
          </w:tcPr>
          <w:p w14:paraId="6E1B529A" w14:textId="77777777" w:rsidR="0036588E" w:rsidRPr="00E93010" w:rsidRDefault="0036588E" w:rsidP="00324A26">
            <w:pPr>
              <w:rPr>
                <w:rFonts w:ascii="Georgia" w:hAnsi="Georgia"/>
                <w:sz w:val="16"/>
                <w:szCs w:val="16"/>
              </w:rPr>
            </w:pPr>
          </w:p>
        </w:tc>
        <w:tc>
          <w:tcPr>
            <w:tcW w:w="2989" w:type="dxa"/>
          </w:tcPr>
          <w:p w14:paraId="293CC6EC" w14:textId="77777777" w:rsidR="0036588E" w:rsidRPr="00E93010" w:rsidRDefault="0036588E" w:rsidP="00324A26">
            <w:pPr>
              <w:rPr>
                <w:rFonts w:ascii="Georgia" w:hAnsi="Georgia"/>
                <w:sz w:val="16"/>
                <w:szCs w:val="16"/>
              </w:rPr>
            </w:pPr>
          </w:p>
        </w:tc>
      </w:tr>
      <w:tr w:rsidR="0036588E" w:rsidRPr="00E93010" w14:paraId="16FAEE5B" w14:textId="77777777" w:rsidTr="00324A26">
        <w:tc>
          <w:tcPr>
            <w:tcW w:w="562" w:type="dxa"/>
            <w:shd w:val="clear" w:color="auto" w:fill="E7E6E6" w:themeFill="background2"/>
          </w:tcPr>
          <w:p w14:paraId="19B9AC7A"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031A8D61" w14:textId="77777777" w:rsidR="0036588E" w:rsidRPr="00E93010" w:rsidRDefault="0036588E" w:rsidP="00324A26">
            <w:pPr>
              <w:rPr>
                <w:rFonts w:ascii="Georgia" w:hAnsi="Georgia"/>
                <w:sz w:val="16"/>
                <w:szCs w:val="16"/>
              </w:rPr>
            </w:pPr>
            <w:r w:rsidRPr="00E93010">
              <w:rPr>
                <w:rFonts w:ascii="Georgia" w:hAnsi="Georgia"/>
                <w:i/>
                <w:sz w:val="16"/>
                <w:szCs w:val="16"/>
              </w:rPr>
              <w:t xml:space="preserve">Stk. 2. </w:t>
            </w:r>
            <w:r w:rsidRPr="00E93010">
              <w:rPr>
                <w:rFonts w:ascii="Georgia" w:hAnsi="Georgia"/>
                <w:sz w:val="16"/>
                <w:szCs w:val="16"/>
              </w:rPr>
              <w:t>Modul D: Potentiale for genbrug, genanvendelse og anden nyttiggørelse, jf. § 297, stk. 2, indgår ikke i beregningen ifølge stk. 1.</w:t>
            </w:r>
          </w:p>
        </w:tc>
        <w:tc>
          <w:tcPr>
            <w:tcW w:w="4536" w:type="dxa"/>
            <w:shd w:val="clear" w:color="auto" w:fill="E7E6E6" w:themeFill="background2"/>
          </w:tcPr>
          <w:p w14:paraId="2CAE7989" w14:textId="77777777" w:rsidR="0036588E" w:rsidRDefault="0036588E" w:rsidP="00324A26">
            <w:pPr>
              <w:ind w:left="35"/>
              <w:rPr>
                <w:rFonts w:ascii="Georgia" w:hAnsi="Georgia"/>
                <w:sz w:val="16"/>
                <w:szCs w:val="16"/>
              </w:rPr>
            </w:pPr>
            <w:r w:rsidRPr="00E93010">
              <w:rPr>
                <w:rFonts w:ascii="Georgia" w:hAnsi="Georgia"/>
                <w:sz w:val="16"/>
                <w:szCs w:val="16"/>
              </w:rPr>
              <w:t>Modul</w:t>
            </w:r>
            <w:r w:rsidRPr="00E93010">
              <w:rPr>
                <w:rFonts w:ascii="Georgia" w:hAnsi="Georgia"/>
                <w:spacing w:val="-4"/>
                <w:sz w:val="16"/>
                <w:szCs w:val="16"/>
              </w:rPr>
              <w:t xml:space="preserve"> </w:t>
            </w:r>
            <w:r w:rsidRPr="00E93010">
              <w:rPr>
                <w:rFonts w:ascii="Georgia" w:hAnsi="Georgia"/>
                <w:sz w:val="16"/>
                <w:szCs w:val="16"/>
              </w:rPr>
              <w:t>D</w:t>
            </w:r>
            <w:r w:rsidRPr="00E93010">
              <w:rPr>
                <w:rFonts w:ascii="Georgia" w:hAnsi="Georgia"/>
                <w:spacing w:val="-4"/>
                <w:sz w:val="16"/>
                <w:szCs w:val="16"/>
              </w:rPr>
              <w:t xml:space="preserve"> </w:t>
            </w:r>
            <w:r w:rsidRPr="00E93010">
              <w:rPr>
                <w:rFonts w:ascii="Georgia" w:hAnsi="Georgia"/>
                <w:sz w:val="16"/>
                <w:szCs w:val="16"/>
              </w:rPr>
              <w:t>angiver</w:t>
            </w:r>
            <w:r w:rsidRPr="00E93010">
              <w:rPr>
                <w:rFonts w:ascii="Georgia" w:hAnsi="Georgia"/>
                <w:spacing w:val="-2"/>
                <w:sz w:val="16"/>
                <w:szCs w:val="16"/>
              </w:rPr>
              <w:t xml:space="preserve"> </w:t>
            </w:r>
            <w:r w:rsidRPr="00E93010">
              <w:rPr>
                <w:rFonts w:ascii="Georgia" w:hAnsi="Georgia"/>
                <w:sz w:val="16"/>
                <w:szCs w:val="16"/>
              </w:rPr>
              <w:t>en</w:t>
            </w:r>
            <w:r w:rsidRPr="00E93010">
              <w:rPr>
                <w:rFonts w:ascii="Georgia" w:hAnsi="Georgia"/>
                <w:spacing w:val="-2"/>
                <w:sz w:val="16"/>
                <w:szCs w:val="16"/>
              </w:rPr>
              <w:t xml:space="preserve"> </w:t>
            </w:r>
            <w:r w:rsidRPr="00E93010">
              <w:rPr>
                <w:rFonts w:ascii="Georgia" w:hAnsi="Georgia"/>
                <w:sz w:val="16"/>
                <w:szCs w:val="16"/>
              </w:rPr>
              <w:t>potentiel</w:t>
            </w:r>
            <w:r w:rsidRPr="00E93010">
              <w:rPr>
                <w:rFonts w:ascii="Georgia" w:hAnsi="Georgia"/>
                <w:spacing w:val="-4"/>
                <w:sz w:val="16"/>
                <w:szCs w:val="16"/>
              </w:rPr>
              <w:t xml:space="preserve"> </w:t>
            </w:r>
            <w:r w:rsidRPr="00E93010">
              <w:rPr>
                <w:rFonts w:ascii="Georgia" w:hAnsi="Georgia"/>
                <w:sz w:val="16"/>
                <w:szCs w:val="16"/>
              </w:rPr>
              <w:t>klimabesparelse,</w:t>
            </w:r>
            <w:r w:rsidRPr="00E93010">
              <w:rPr>
                <w:rFonts w:ascii="Georgia" w:hAnsi="Georgia"/>
                <w:spacing w:val="-3"/>
                <w:sz w:val="16"/>
                <w:szCs w:val="16"/>
              </w:rPr>
              <w:t xml:space="preserve"> </w:t>
            </w:r>
            <w:r w:rsidRPr="00E93010">
              <w:rPr>
                <w:rFonts w:ascii="Georgia" w:hAnsi="Georgia"/>
                <w:sz w:val="16"/>
                <w:szCs w:val="16"/>
              </w:rPr>
              <w:t>vha.</w:t>
            </w:r>
            <w:r w:rsidRPr="00E93010">
              <w:rPr>
                <w:rFonts w:ascii="Georgia" w:hAnsi="Georgia"/>
                <w:spacing w:val="-5"/>
                <w:sz w:val="16"/>
                <w:szCs w:val="16"/>
              </w:rPr>
              <w:t xml:space="preserve"> </w:t>
            </w:r>
            <w:r w:rsidRPr="00E93010">
              <w:rPr>
                <w:rFonts w:ascii="Georgia" w:hAnsi="Georgia"/>
                <w:sz w:val="16"/>
                <w:szCs w:val="16"/>
              </w:rPr>
              <w:t>genbrug,</w:t>
            </w:r>
            <w:r w:rsidRPr="00E93010">
              <w:rPr>
                <w:rFonts w:ascii="Georgia" w:hAnsi="Georgia"/>
                <w:spacing w:val="-5"/>
                <w:sz w:val="16"/>
                <w:szCs w:val="16"/>
              </w:rPr>
              <w:t xml:space="preserve"> </w:t>
            </w:r>
            <w:r w:rsidRPr="00E93010">
              <w:rPr>
                <w:rFonts w:ascii="Georgia" w:hAnsi="Georgia"/>
                <w:sz w:val="16"/>
                <w:szCs w:val="16"/>
              </w:rPr>
              <w:t>genanvendelse</w:t>
            </w:r>
            <w:r w:rsidRPr="00E93010">
              <w:rPr>
                <w:rFonts w:ascii="Georgia" w:hAnsi="Georgia"/>
                <w:spacing w:val="-3"/>
                <w:sz w:val="16"/>
                <w:szCs w:val="16"/>
              </w:rPr>
              <w:t xml:space="preserve"> </w:t>
            </w:r>
            <w:r w:rsidRPr="00E93010">
              <w:rPr>
                <w:rFonts w:ascii="Georgia" w:hAnsi="Georgia"/>
                <w:sz w:val="16"/>
                <w:szCs w:val="16"/>
              </w:rPr>
              <w:t>og</w:t>
            </w:r>
            <w:r w:rsidRPr="00E93010">
              <w:rPr>
                <w:rFonts w:ascii="Georgia" w:hAnsi="Georgia"/>
                <w:spacing w:val="-4"/>
                <w:sz w:val="16"/>
                <w:szCs w:val="16"/>
              </w:rPr>
              <w:t xml:space="preserve"> </w:t>
            </w:r>
            <w:r w:rsidRPr="00E93010">
              <w:rPr>
                <w:rFonts w:ascii="Georgia" w:hAnsi="Georgia"/>
                <w:sz w:val="16"/>
                <w:szCs w:val="16"/>
              </w:rPr>
              <w:t>anden</w:t>
            </w:r>
            <w:r w:rsidRPr="00E93010">
              <w:rPr>
                <w:rFonts w:ascii="Georgia" w:hAnsi="Georgia"/>
                <w:spacing w:val="-4"/>
                <w:sz w:val="16"/>
                <w:szCs w:val="16"/>
              </w:rPr>
              <w:t xml:space="preserve"> </w:t>
            </w:r>
            <w:r w:rsidRPr="00E93010">
              <w:rPr>
                <w:rFonts w:ascii="Georgia" w:hAnsi="Georgia"/>
                <w:sz w:val="16"/>
                <w:szCs w:val="16"/>
              </w:rPr>
              <w:t>nyttiggørelse,</w:t>
            </w:r>
            <w:r w:rsidRPr="00E93010">
              <w:rPr>
                <w:rFonts w:ascii="Georgia" w:hAnsi="Georgia"/>
                <w:spacing w:val="-5"/>
                <w:sz w:val="16"/>
                <w:szCs w:val="16"/>
              </w:rPr>
              <w:t xml:space="preserve"> </w:t>
            </w:r>
            <w:r w:rsidRPr="00E93010">
              <w:rPr>
                <w:rFonts w:ascii="Georgia" w:hAnsi="Georgia"/>
                <w:sz w:val="16"/>
                <w:szCs w:val="16"/>
              </w:rPr>
              <w:t>fx</w:t>
            </w:r>
            <w:r w:rsidRPr="00E93010">
              <w:rPr>
                <w:rFonts w:ascii="Georgia" w:hAnsi="Georgia"/>
                <w:spacing w:val="-2"/>
                <w:sz w:val="16"/>
                <w:szCs w:val="16"/>
              </w:rPr>
              <w:t xml:space="preserve"> </w:t>
            </w:r>
            <w:r w:rsidRPr="00E93010">
              <w:rPr>
                <w:rFonts w:ascii="Georgia" w:hAnsi="Georgia"/>
                <w:sz w:val="16"/>
                <w:szCs w:val="16"/>
              </w:rPr>
              <w:t>ved</w:t>
            </w:r>
            <w:r w:rsidRPr="00E93010">
              <w:rPr>
                <w:rFonts w:ascii="Georgia" w:hAnsi="Georgia"/>
                <w:spacing w:val="-4"/>
                <w:sz w:val="16"/>
                <w:szCs w:val="16"/>
              </w:rPr>
              <w:t xml:space="preserve"> </w:t>
            </w:r>
            <w:r w:rsidRPr="00E93010">
              <w:rPr>
                <w:rFonts w:ascii="Georgia" w:hAnsi="Georgia"/>
                <w:sz w:val="16"/>
                <w:szCs w:val="16"/>
              </w:rPr>
              <w:t>at</w:t>
            </w:r>
            <w:r w:rsidRPr="00E93010">
              <w:rPr>
                <w:rFonts w:ascii="Georgia" w:hAnsi="Georgia"/>
                <w:spacing w:val="-4"/>
                <w:sz w:val="16"/>
                <w:szCs w:val="16"/>
              </w:rPr>
              <w:t xml:space="preserve"> </w:t>
            </w:r>
            <w:r w:rsidRPr="00E93010">
              <w:rPr>
                <w:rFonts w:ascii="Georgia" w:hAnsi="Georgia"/>
                <w:sz w:val="16"/>
                <w:szCs w:val="16"/>
              </w:rPr>
              <w:t>genanvende</w:t>
            </w:r>
            <w:r w:rsidRPr="00E93010">
              <w:rPr>
                <w:rFonts w:ascii="Georgia" w:hAnsi="Georgia"/>
                <w:spacing w:val="-3"/>
                <w:sz w:val="16"/>
                <w:szCs w:val="16"/>
              </w:rPr>
              <w:t xml:space="preserve"> </w:t>
            </w:r>
            <w:r w:rsidRPr="00E93010">
              <w:rPr>
                <w:rFonts w:ascii="Georgia" w:hAnsi="Georgia"/>
                <w:sz w:val="16"/>
                <w:szCs w:val="16"/>
              </w:rPr>
              <w:t>materialer,</w:t>
            </w:r>
            <w:r w:rsidRPr="00E93010">
              <w:rPr>
                <w:rFonts w:ascii="Georgia" w:hAnsi="Georgia"/>
                <w:spacing w:val="-5"/>
                <w:sz w:val="16"/>
                <w:szCs w:val="16"/>
              </w:rPr>
              <w:t xml:space="preserve"> </w:t>
            </w:r>
            <w:r w:rsidRPr="00E93010">
              <w:rPr>
                <w:rFonts w:ascii="Georgia" w:hAnsi="Georgia"/>
                <w:sz w:val="16"/>
                <w:szCs w:val="16"/>
              </w:rPr>
              <w:t>som</w:t>
            </w:r>
            <w:r w:rsidRPr="00E93010">
              <w:rPr>
                <w:rFonts w:ascii="Georgia" w:hAnsi="Georgia"/>
                <w:spacing w:val="-4"/>
                <w:sz w:val="16"/>
                <w:szCs w:val="16"/>
              </w:rPr>
              <w:t xml:space="preserve"> </w:t>
            </w:r>
            <w:r w:rsidRPr="00E93010">
              <w:rPr>
                <w:rFonts w:ascii="Georgia" w:hAnsi="Georgia"/>
                <w:sz w:val="16"/>
                <w:szCs w:val="16"/>
              </w:rPr>
              <w:t>kan</w:t>
            </w:r>
            <w:r w:rsidRPr="00E93010">
              <w:rPr>
                <w:rFonts w:ascii="Georgia" w:hAnsi="Georgia"/>
                <w:spacing w:val="-2"/>
                <w:sz w:val="16"/>
                <w:szCs w:val="16"/>
              </w:rPr>
              <w:t xml:space="preserve"> </w:t>
            </w:r>
            <w:r w:rsidRPr="00E93010">
              <w:rPr>
                <w:rFonts w:ascii="Georgia" w:hAnsi="Georgia"/>
                <w:sz w:val="16"/>
                <w:szCs w:val="16"/>
              </w:rPr>
              <w:t>indgå i en fremtidig bygning. Da modul D kun angiver potentiel nyttiggørelse i næste bygning, medtages modul D ikke i det samlede resultat for at dokumentere grænseværdien. Modul D medtages i deklarationen fordi det kan medvirke til at løfte vidensniveauet om potentialet for nyttiggørelse efter bygningens</w:t>
            </w:r>
            <w:r w:rsidRPr="00E93010">
              <w:rPr>
                <w:rFonts w:ascii="Georgia" w:hAnsi="Georgia"/>
                <w:spacing w:val="-17"/>
                <w:sz w:val="16"/>
                <w:szCs w:val="16"/>
              </w:rPr>
              <w:t xml:space="preserve"> </w:t>
            </w:r>
            <w:r w:rsidRPr="00E93010">
              <w:rPr>
                <w:rFonts w:ascii="Georgia" w:hAnsi="Georgia"/>
                <w:sz w:val="16"/>
                <w:szCs w:val="16"/>
              </w:rPr>
              <w:t>levetid.</w:t>
            </w:r>
          </w:p>
          <w:p w14:paraId="3C79588F" w14:textId="77777777" w:rsidR="0036588E" w:rsidRPr="00E93010" w:rsidRDefault="0036588E" w:rsidP="00324A26">
            <w:pPr>
              <w:ind w:left="35"/>
              <w:rPr>
                <w:rFonts w:ascii="Georgia" w:hAnsi="Georgia"/>
                <w:sz w:val="16"/>
                <w:szCs w:val="16"/>
              </w:rPr>
            </w:pPr>
          </w:p>
        </w:tc>
        <w:tc>
          <w:tcPr>
            <w:tcW w:w="3815" w:type="dxa"/>
          </w:tcPr>
          <w:p w14:paraId="164743FD" w14:textId="77777777" w:rsidR="0036588E" w:rsidRPr="00E93010" w:rsidRDefault="0036588E" w:rsidP="00324A26">
            <w:pPr>
              <w:rPr>
                <w:rFonts w:ascii="Georgia" w:hAnsi="Georgia"/>
                <w:sz w:val="16"/>
                <w:szCs w:val="16"/>
              </w:rPr>
            </w:pPr>
          </w:p>
        </w:tc>
        <w:tc>
          <w:tcPr>
            <w:tcW w:w="2989" w:type="dxa"/>
          </w:tcPr>
          <w:p w14:paraId="4707F2D0" w14:textId="77777777" w:rsidR="0036588E" w:rsidRPr="00E93010" w:rsidRDefault="0036588E" w:rsidP="00324A26">
            <w:pPr>
              <w:rPr>
                <w:rFonts w:ascii="Georgia" w:hAnsi="Georgia"/>
                <w:sz w:val="16"/>
                <w:szCs w:val="16"/>
              </w:rPr>
            </w:pPr>
          </w:p>
        </w:tc>
      </w:tr>
      <w:tr w:rsidR="0036588E" w:rsidRPr="00E93010" w14:paraId="2E0DAFCC" w14:textId="77777777" w:rsidTr="00324A26">
        <w:tc>
          <w:tcPr>
            <w:tcW w:w="562" w:type="dxa"/>
            <w:shd w:val="clear" w:color="auto" w:fill="E7E6E6" w:themeFill="background2"/>
          </w:tcPr>
          <w:p w14:paraId="3396D5E7"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3C98C547" w14:textId="77777777" w:rsidR="0036588E" w:rsidRPr="00E93010" w:rsidRDefault="0036588E" w:rsidP="00324A26">
            <w:pPr>
              <w:rPr>
                <w:rFonts w:ascii="Georgia" w:hAnsi="Georgia"/>
                <w:sz w:val="16"/>
                <w:szCs w:val="16"/>
              </w:rPr>
            </w:pPr>
            <w:r w:rsidRPr="00E93010">
              <w:rPr>
                <w:rFonts w:ascii="Georgia" w:hAnsi="Georgia"/>
                <w:i/>
                <w:sz w:val="16"/>
                <w:szCs w:val="16"/>
              </w:rPr>
              <w:t xml:space="preserve">Stk. 3. </w:t>
            </w:r>
            <w:r w:rsidRPr="00E93010">
              <w:rPr>
                <w:rFonts w:ascii="Georgia" w:hAnsi="Georgia"/>
                <w:sz w:val="16"/>
                <w:szCs w:val="16"/>
              </w:rPr>
              <w:t>Hvis bygningen har tillæg til energirammen, jf. § 260, stk. 3, indgår tillægget ikke i beregningen ifølge stk. 1.</w:t>
            </w:r>
          </w:p>
        </w:tc>
        <w:tc>
          <w:tcPr>
            <w:tcW w:w="4536" w:type="dxa"/>
            <w:shd w:val="clear" w:color="auto" w:fill="E7E6E6" w:themeFill="background2"/>
          </w:tcPr>
          <w:p w14:paraId="4BD4FDC6" w14:textId="77777777" w:rsidR="0036588E" w:rsidRPr="00E93010" w:rsidRDefault="0036588E" w:rsidP="00324A26">
            <w:pPr>
              <w:pStyle w:val="TableParagraph"/>
              <w:rPr>
                <w:sz w:val="16"/>
                <w:szCs w:val="16"/>
                <w:lang w:val="da-DK"/>
              </w:rPr>
            </w:pPr>
            <w:r w:rsidRPr="00E93010">
              <w:rPr>
                <w:sz w:val="16"/>
                <w:szCs w:val="16"/>
                <w:lang w:val="da-DK"/>
              </w:rPr>
              <w:t>Der indføres en undtagelse for bygninger, der har tillæg til energirammen jf. § 260, stk. 3.</w:t>
            </w:r>
          </w:p>
          <w:p w14:paraId="45186B9F" w14:textId="77777777" w:rsidR="0036588E" w:rsidRPr="00E93010" w:rsidRDefault="0036588E" w:rsidP="00324A26">
            <w:pPr>
              <w:pStyle w:val="TableParagraph"/>
              <w:spacing w:before="9"/>
              <w:ind w:left="0"/>
              <w:rPr>
                <w:sz w:val="16"/>
                <w:szCs w:val="16"/>
                <w:lang w:val="da-DK"/>
              </w:rPr>
            </w:pPr>
          </w:p>
          <w:p w14:paraId="54E592AB" w14:textId="77777777" w:rsidR="0036588E" w:rsidRDefault="0036588E" w:rsidP="00324A26">
            <w:pPr>
              <w:pStyle w:val="TableParagraph"/>
              <w:ind w:right="908"/>
              <w:rPr>
                <w:sz w:val="16"/>
                <w:szCs w:val="16"/>
                <w:lang w:val="da-DK"/>
              </w:rPr>
            </w:pPr>
            <w:r w:rsidRPr="00E93010">
              <w:rPr>
                <w:sz w:val="16"/>
                <w:szCs w:val="16"/>
                <w:lang w:val="da-DK"/>
              </w:rPr>
              <w:t>Med denne undtagelse tages højde for, at bygningers klimapåvirkning fra driftsenergien kan være høj på grund af bygningens anvendelse, fx svømmehaller, som også ifølge nuværende regler (§ 260, stk. 3) har en højere ramme for deres energiforbrug.</w:t>
            </w:r>
          </w:p>
          <w:p w14:paraId="06389725" w14:textId="77777777" w:rsidR="0036588E" w:rsidRDefault="0036588E" w:rsidP="00324A26">
            <w:pPr>
              <w:pStyle w:val="TableParagraph"/>
              <w:ind w:right="908"/>
              <w:rPr>
                <w:sz w:val="16"/>
                <w:szCs w:val="16"/>
                <w:lang w:val="da-DK"/>
              </w:rPr>
            </w:pPr>
          </w:p>
          <w:p w14:paraId="440B24EF" w14:textId="77777777" w:rsidR="0036588E" w:rsidRDefault="0036588E" w:rsidP="00324A26">
            <w:pPr>
              <w:pStyle w:val="TableParagraph"/>
              <w:ind w:right="908"/>
              <w:rPr>
                <w:sz w:val="16"/>
                <w:szCs w:val="16"/>
                <w:lang w:val="da-DK"/>
              </w:rPr>
            </w:pPr>
            <w:r w:rsidRPr="00E93010">
              <w:rPr>
                <w:sz w:val="16"/>
                <w:szCs w:val="16"/>
                <w:lang w:val="da-DK"/>
              </w:rPr>
              <w:t>Dokumentationen for klimapåvirkningen foretages i de tilfælde uden at medregne den del af energiforbruget, som svarer til tillægget til energirammen.</w:t>
            </w:r>
          </w:p>
          <w:p w14:paraId="7A94AB07" w14:textId="77777777" w:rsidR="0036588E" w:rsidRPr="00245894" w:rsidRDefault="0036588E" w:rsidP="00324A26">
            <w:pPr>
              <w:pStyle w:val="TableParagraph"/>
              <w:ind w:right="908"/>
              <w:rPr>
                <w:sz w:val="16"/>
                <w:szCs w:val="16"/>
                <w:lang w:val="da-DK"/>
              </w:rPr>
            </w:pPr>
          </w:p>
        </w:tc>
        <w:tc>
          <w:tcPr>
            <w:tcW w:w="3815" w:type="dxa"/>
          </w:tcPr>
          <w:p w14:paraId="34723350" w14:textId="77777777" w:rsidR="0036588E" w:rsidRPr="00E93010" w:rsidRDefault="0036588E" w:rsidP="00324A26">
            <w:pPr>
              <w:rPr>
                <w:rFonts w:ascii="Georgia" w:hAnsi="Georgia"/>
                <w:sz w:val="16"/>
                <w:szCs w:val="16"/>
              </w:rPr>
            </w:pPr>
          </w:p>
        </w:tc>
        <w:tc>
          <w:tcPr>
            <w:tcW w:w="2989" w:type="dxa"/>
          </w:tcPr>
          <w:p w14:paraId="1C276300" w14:textId="77777777" w:rsidR="0036588E" w:rsidRPr="00E93010" w:rsidRDefault="0036588E" w:rsidP="00324A26">
            <w:pPr>
              <w:rPr>
                <w:rFonts w:ascii="Georgia" w:hAnsi="Georgia"/>
                <w:sz w:val="16"/>
                <w:szCs w:val="16"/>
              </w:rPr>
            </w:pPr>
          </w:p>
        </w:tc>
      </w:tr>
      <w:tr w:rsidR="0036588E" w:rsidRPr="00E93010" w14:paraId="6626E8A4" w14:textId="77777777" w:rsidTr="00324A26">
        <w:tc>
          <w:tcPr>
            <w:tcW w:w="562" w:type="dxa"/>
            <w:shd w:val="clear" w:color="auto" w:fill="E7E6E6" w:themeFill="background2"/>
          </w:tcPr>
          <w:p w14:paraId="5E1DF2CF"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3DF8D6E7" w14:textId="77777777" w:rsidR="0036588E" w:rsidRPr="00E93010" w:rsidRDefault="0036588E" w:rsidP="00324A26">
            <w:pPr>
              <w:rPr>
                <w:rFonts w:ascii="Georgia" w:hAnsi="Georgia"/>
                <w:sz w:val="16"/>
                <w:szCs w:val="16"/>
              </w:rPr>
            </w:pPr>
            <w:r w:rsidRPr="00E93010">
              <w:rPr>
                <w:rFonts w:ascii="Georgia" w:hAnsi="Georgia"/>
                <w:i/>
                <w:sz w:val="16"/>
                <w:szCs w:val="16"/>
              </w:rPr>
              <w:t xml:space="preserve">Stk. 4. </w:t>
            </w:r>
            <w:r w:rsidRPr="00E93010">
              <w:rPr>
                <w:rFonts w:ascii="Georgia" w:hAnsi="Georgia"/>
                <w:sz w:val="16"/>
                <w:szCs w:val="16"/>
              </w:rPr>
              <w:t>Hvis særlige forhold ved bygningen, som følge af dens placering, funktion, eller tilsvarende forhold, nødvendiggør et materialeforbrug, som medfører en øget klimapåvirkning, indgår den øgede klimapåvirkning ikke i beregningen ifølge stk. 1.«</w:t>
            </w:r>
          </w:p>
        </w:tc>
        <w:tc>
          <w:tcPr>
            <w:tcW w:w="4536" w:type="dxa"/>
            <w:shd w:val="clear" w:color="auto" w:fill="E7E6E6" w:themeFill="background2"/>
          </w:tcPr>
          <w:p w14:paraId="0E591E62" w14:textId="77777777" w:rsidR="0036588E" w:rsidRPr="00E93010" w:rsidRDefault="0036588E" w:rsidP="00324A26">
            <w:pPr>
              <w:pStyle w:val="TableParagraph"/>
              <w:rPr>
                <w:sz w:val="16"/>
                <w:szCs w:val="16"/>
                <w:lang w:val="da-DK"/>
              </w:rPr>
            </w:pPr>
            <w:r w:rsidRPr="00E93010">
              <w:rPr>
                <w:sz w:val="16"/>
                <w:szCs w:val="16"/>
                <w:lang w:val="da-DK"/>
              </w:rPr>
              <w:t>Der indføres ligeledes en undtagelse for bygninger, hvor en øget klimapåvirkning skyldes særlige forhold.</w:t>
            </w:r>
          </w:p>
          <w:p w14:paraId="0BEF4D80" w14:textId="77777777" w:rsidR="0036588E" w:rsidRPr="00E93010" w:rsidRDefault="0036588E" w:rsidP="00324A26">
            <w:pPr>
              <w:pStyle w:val="TableParagraph"/>
              <w:spacing w:before="9"/>
              <w:ind w:left="0"/>
              <w:rPr>
                <w:sz w:val="16"/>
                <w:szCs w:val="16"/>
                <w:lang w:val="da-DK"/>
              </w:rPr>
            </w:pPr>
          </w:p>
          <w:p w14:paraId="767CEE4E" w14:textId="77777777" w:rsidR="0036588E" w:rsidRPr="00E93010" w:rsidRDefault="0036588E" w:rsidP="00324A26">
            <w:pPr>
              <w:pStyle w:val="TableParagraph"/>
              <w:ind w:right="622"/>
              <w:rPr>
                <w:sz w:val="16"/>
                <w:szCs w:val="16"/>
                <w:lang w:val="da-DK"/>
              </w:rPr>
            </w:pPr>
            <w:r w:rsidRPr="00E93010">
              <w:rPr>
                <w:sz w:val="16"/>
                <w:szCs w:val="16"/>
                <w:lang w:val="da-DK"/>
              </w:rPr>
              <w:t>Med denne undtagelse tages højde for, at der ved fastlæggelsen af klimapåvirkning fra materialer kan være særlige hensyn at tage, som ikke har været forudsat ved fastsættelsen af grænseværdien. I rapporten om undersøgelse af 60 bygninger (</w:t>
            </w:r>
            <w:proofErr w:type="spellStart"/>
            <w:proofErr w:type="gramStart"/>
            <w:r w:rsidRPr="00E93010">
              <w:rPr>
                <w:i/>
                <w:sz w:val="16"/>
                <w:szCs w:val="16"/>
                <w:lang w:val="da-DK"/>
              </w:rPr>
              <w:t>BUILD</w:t>
            </w:r>
            <w:proofErr w:type="spellEnd"/>
            <w:r w:rsidRPr="00E93010">
              <w:rPr>
                <w:i/>
                <w:sz w:val="16"/>
                <w:szCs w:val="16"/>
                <w:lang w:val="da-DK"/>
              </w:rPr>
              <w:t xml:space="preserve"> rapport</w:t>
            </w:r>
            <w:proofErr w:type="gramEnd"/>
            <w:r w:rsidRPr="00E93010">
              <w:rPr>
                <w:i/>
                <w:sz w:val="16"/>
                <w:szCs w:val="16"/>
                <w:lang w:val="da-DK"/>
              </w:rPr>
              <w:t xml:space="preserve"> 2021:13</w:t>
            </w:r>
            <w:r w:rsidRPr="00E93010">
              <w:rPr>
                <w:sz w:val="16"/>
                <w:szCs w:val="16"/>
                <w:lang w:val="da-DK"/>
              </w:rPr>
              <w:t>), som dannede grundlaget for fastsættelse af grænseværdien, blev primært undersøgt enfamiliehuse, rækkehuse og kontorbygninger.</w:t>
            </w:r>
          </w:p>
          <w:p w14:paraId="31CF1921" w14:textId="77777777" w:rsidR="0036588E" w:rsidRPr="00E93010" w:rsidRDefault="0036588E" w:rsidP="00324A26">
            <w:pPr>
              <w:pStyle w:val="TableParagraph"/>
              <w:spacing w:before="7"/>
              <w:ind w:left="0"/>
              <w:rPr>
                <w:sz w:val="16"/>
                <w:szCs w:val="16"/>
                <w:lang w:val="da-DK"/>
              </w:rPr>
            </w:pPr>
          </w:p>
          <w:p w14:paraId="7103C4F4" w14:textId="77777777" w:rsidR="0036588E" w:rsidRPr="00E93010" w:rsidRDefault="0036588E" w:rsidP="00324A26">
            <w:pPr>
              <w:pStyle w:val="TableParagraph"/>
              <w:rPr>
                <w:sz w:val="16"/>
                <w:szCs w:val="16"/>
                <w:lang w:val="da-DK"/>
              </w:rPr>
            </w:pPr>
            <w:r w:rsidRPr="00E93010">
              <w:rPr>
                <w:sz w:val="16"/>
                <w:szCs w:val="16"/>
                <w:lang w:val="da-DK"/>
              </w:rPr>
              <w:t>Hensigten med undtagelsen er at hindre, at bestemmelsen utilsigtet rammer bygninger med særlige forhold.</w:t>
            </w:r>
          </w:p>
          <w:p w14:paraId="38A7A6CC" w14:textId="77777777" w:rsidR="0036588E" w:rsidRPr="00E93010" w:rsidRDefault="0036588E" w:rsidP="00324A26">
            <w:pPr>
              <w:pStyle w:val="TableParagraph"/>
              <w:spacing w:before="9"/>
              <w:ind w:left="0"/>
              <w:rPr>
                <w:sz w:val="16"/>
                <w:szCs w:val="16"/>
                <w:lang w:val="da-DK"/>
              </w:rPr>
            </w:pPr>
          </w:p>
          <w:p w14:paraId="12B6B827" w14:textId="77777777" w:rsidR="0036588E" w:rsidRPr="00E93010" w:rsidRDefault="0036588E" w:rsidP="00324A26">
            <w:pPr>
              <w:pStyle w:val="TableParagraph"/>
              <w:ind w:right="386"/>
              <w:rPr>
                <w:sz w:val="16"/>
                <w:szCs w:val="16"/>
                <w:lang w:val="da-DK"/>
              </w:rPr>
            </w:pPr>
            <w:r w:rsidRPr="00E93010">
              <w:rPr>
                <w:sz w:val="16"/>
                <w:szCs w:val="16"/>
                <w:lang w:val="da-DK"/>
              </w:rPr>
              <w:t>Ligesom stk. 3 giver et ’fradrag’ i energiberegningen, kan stk. 4 således give et ’fradrag’ i materialeberegningen. Når det beregnes, om byggeriet holder sig inden for grænseværdien, skal beregningen derfor foretages uden at medregne det øgede materialeforbrug, der er en følge af det særlige ved bygningen. I stedet for det faktuelle materialeforbrug skal således foretages en beregning af, hvad materialeforbruget ville have været ved en teoretisk referencebygning, som ikke er påvirket af det særlige forhold.</w:t>
            </w:r>
          </w:p>
          <w:p w14:paraId="06C3740F" w14:textId="77777777" w:rsidR="0036588E" w:rsidRPr="00E93010" w:rsidRDefault="0036588E" w:rsidP="00324A26">
            <w:pPr>
              <w:pStyle w:val="TableParagraph"/>
              <w:spacing w:before="4"/>
              <w:ind w:left="0"/>
              <w:rPr>
                <w:sz w:val="16"/>
                <w:szCs w:val="16"/>
                <w:lang w:val="da-DK"/>
              </w:rPr>
            </w:pPr>
          </w:p>
          <w:p w14:paraId="1348064B" w14:textId="77777777" w:rsidR="0036588E" w:rsidRPr="00E93010" w:rsidRDefault="0036588E" w:rsidP="00324A26">
            <w:pPr>
              <w:pStyle w:val="TableParagraph"/>
              <w:ind w:right="105"/>
              <w:rPr>
                <w:sz w:val="16"/>
                <w:szCs w:val="16"/>
                <w:lang w:val="da-DK"/>
              </w:rPr>
            </w:pPr>
            <w:r w:rsidRPr="00E93010">
              <w:rPr>
                <w:sz w:val="16"/>
                <w:szCs w:val="16"/>
                <w:lang w:val="da-DK"/>
              </w:rPr>
              <w:t xml:space="preserve">Det er bygningsejers ansvar at tage stilling til, om undtagelsen skal anvendes ved beregning af, om byggeriet overholder grænseværdien. Undtagelsen er ikke tænkt som en bestemmelse om dispensation, som der vil skulle ansøges om på forhånd. Det påhviler bygningsejer at dokumentere på byggesagen, hvordan undtagelsen er bragt i anvendelse og hvad det har betydet for beregningen af klimapåvirkningen. Hvis byggeriet udtages i </w:t>
            </w:r>
            <w:proofErr w:type="gramStart"/>
            <w:r w:rsidRPr="00E93010">
              <w:rPr>
                <w:sz w:val="16"/>
                <w:szCs w:val="16"/>
                <w:lang w:val="da-DK"/>
              </w:rPr>
              <w:t>stikprøvekontrol</w:t>
            </w:r>
            <w:proofErr w:type="gramEnd"/>
            <w:r w:rsidRPr="00E93010">
              <w:rPr>
                <w:sz w:val="16"/>
                <w:szCs w:val="16"/>
                <w:lang w:val="da-DK"/>
              </w:rPr>
              <w:t xml:space="preserve"> skal kommunen tage stilling til, om den er enig i bygningsejers vurdering af, at undtagelsen er anvendelig.</w:t>
            </w:r>
          </w:p>
          <w:p w14:paraId="4D26307B" w14:textId="77777777" w:rsidR="0036588E" w:rsidRPr="00E93010" w:rsidRDefault="0036588E" w:rsidP="00324A26">
            <w:pPr>
              <w:pStyle w:val="TableParagraph"/>
              <w:spacing w:before="4"/>
              <w:ind w:left="0"/>
              <w:rPr>
                <w:sz w:val="16"/>
                <w:szCs w:val="16"/>
                <w:lang w:val="da-DK"/>
              </w:rPr>
            </w:pPr>
          </w:p>
          <w:p w14:paraId="4D1EB23A" w14:textId="77777777" w:rsidR="0036588E" w:rsidRDefault="0036588E" w:rsidP="00324A26">
            <w:pPr>
              <w:pStyle w:val="TableParagraph"/>
              <w:ind w:right="420"/>
              <w:rPr>
                <w:sz w:val="16"/>
                <w:szCs w:val="16"/>
                <w:lang w:val="da-DK"/>
              </w:rPr>
            </w:pPr>
            <w:r w:rsidRPr="00E93010">
              <w:rPr>
                <w:sz w:val="16"/>
                <w:szCs w:val="16"/>
                <w:lang w:val="da-DK"/>
              </w:rPr>
              <w:t>Bygningsejer kan have interesse i forudgående dialog med kommunen, om kommunen er enig i at gøre undtagelse, så der ikke opstår tvivl på et senere tidspunkt.</w:t>
            </w:r>
          </w:p>
          <w:p w14:paraId="2DA84937" w14:textId="77777777" w:rsidR="0036588E" w:rsidRPr="00E93010" w:rsidRDefault="0036588E" w:rsidP="00324A26">
            <w:pPr>
              <w:pStyle w:val="TableParagraph"/>
              <w:ind w:right="420"/>
              <w:rPr>
                <w:sz w:val="16"/>
                <w:szCs w:val="16"/>
                <w:lang w:val="da-DK"/>
              </w:rPr>
            </w:pPr>
          </w:p>
          <w:p w14:paraId="2C0D9D45" w14:textId="77777777" w:rsidR="0036588E" w:rsidRPr="00E93010" w:rsidRDefault="0036588E" w:rsidP="00324A26">
            <w:pPr>
              <w:pStyle w:val="TableParagraph"/>
              <w:spacing w:before="3"/>
              <w:ind w:right="318"/>
              <w:rPr>
                <w:sz w:val="16"/>
                <w:szCs w:val="16"/>
                <w:lang w:val="da-DK"/>
              </w:rPr>
            </w:pPr>
            <w:r w:rsidRPr="00E93010">
              <w:rPr>
                <w:sz w:val="16"/>
                <w:szCs w:val="16"/>
                <w:lang w:val="da-DK"/>
              </w:rPr>
              <w:t>I modsætning til fradraget i energiberegningen (stk. 3), som er bundet op på reglerne om energirammen, så er fradraget i materialerne (stk. 4) baseret på en konkret vurdering af betydningen af de særlige forhold. Med placeringen tænkes på, at fx jordbundsforholdene kan nødvendiggøre et tungere fundament, som tilfældet kan være i parkeringskældre med højt vandtryk. Som eksempel på funktion kan nævnes at laboratorier kan have brug for særligt tungt fundament for at modvirke rystelser. Andre særlige forhold kan også berettige til fradrag. I den forbindelse kan overvejes det særlige ved fx hospitaler, stadioner, idrætscentre eller kirker.</w:t>
            </w:r>
          </w:p>
          <w:p w14:paraId="21573530" w14:textId="77777777" w:rsidR="0036588E" w:rsidRPr="00E93010" w:rsidRDefault="0036588E" w:rsidP="00324A26">
            <w:pPr>
              <w:pStyle w:val="TableParagraph"/>
              <w:spacing w:before="7"/>
              <w:ind w:left="0"/>
              <w:rPr>
                <w:sz w:val="16"/>
                <w:szCs w:val="16"/>
                <w:lang w:val="da-DK"/>
              </w:rPr>
            </w:pPr>
          </w:p>
          <w:p w14:paraId="29A0331A" w14:textId="77777777" w:rsidR="0036588E" w:rsidRDefault="0036588E" w:rsidP="00324A26">
            <w:pPr>
              <w:pStyle w:val="TableParagraph"/>
              <w:ind w:right="259"/>
              <w:rPr>
                <w:position w:val="2"/>
                <w:sz w:val="16"/>
                <w:szCs w:val="16"/>
                <w:lang w:val="da-DK"/>
              </w:rPr>
            </w:pPr>
            <w:r w:rsidRPr="00E93010">
              <w:rPr>
                <w:sz w:val="16"/>
                <w:szCs w:val="16"/>
                <w:lang w:val="da-DK"/>
              </w:rPr>
              <w:t xml:space="preserve">Undtagelsen er bredt beskrevet. Det er ikke hensigten med nærværende bekendtgørelse, at kravet skal påvirke, hvad der henhører under andre lovgivninger, som fx opførelse af nybyggeri på steder, som er tilladt ifølge planloven. Undtagelsen i stk. 4 sigter derfor også på, at bestemmelsen om </w:t>
            </w:r>
            <w:r w:rsidRPr="00E93010">
              <w:rPr>
                <w:position w:val="2"/>
                <w:sz w:val="16"/>
                <w:szCs w:val="16"/>
                <w:lang w:val="da-DK"/>
              </w:rPr>
              <w:t>overholdelse af CO</w:t>
            </w:r>
            <w:r w:rsidRPr="00E93010">
              <w:rPr>
                <w:sz w:val="16"/>
                <w:szCs w:val="16"/>
                <w:lang w:val="da-DK"/>
              </w:rPr>
              <w:t>2</w:t>
            </w:r>
            <w:r w:rsidRPr="00E93010">
              <w:rPr>
                <w:position w:val="2"/>
                <w:sz w:val="16"/>
                <w:szCs w:val="16"/>
                <w:lang w:val="da-DK"/>
              </w:rPr>
              <w:t>-grænseværdi fungerer underordnet anden lovgivning.</w:t>
            </w:r>
          </w:p>
          <w:p w14:paraId="01D53CEC" w14:textId="77777777" w:rsidR="0036588E" w:rsidRDefault="0036588E" w:rsidP="00324A26">
            <w:pPr>
              <w:pStyle w:val="TableParagraph"/>
              <w:ind w:right="259"/>
              <w:rPr>
                <w:position w:val="2"/>
                <w:sz w:val="16"/>
                <w:szCs w:val="16"/>
                <w:lang w:val="da-DK"/>
              </w:rPr>
            </w:pPr>
          </w:p>
          <w:p w14:paraId="6C8EE05B" w14:textId="77777777" w:rsidR="0036588E" w:rsidRDefault="0036588E" w:rsidP="00324A26">
            <w:pPr>
              <w:pStyle w:val="TableParagraph"/>
              <w:ind w:right="259"/>
              <w:rPr>
                <w:sz w:val="16"/>
                <w:szCs w:val="16"/>
                <w:lang w:val="da-DK"/>
              </w:rPr>
            </w:pPr>
            <w:r w:rsidRPr="00E93010">
              <w:rPr>
                <w:sz w:val="16"/>
                <w:szCs w:val="16"/>
                <w:lang w:val="da-DK"/>
              </w:rPr>
              <w:t>Det afgørende er, om det særlige ved bygningen nødvendiggør de ekstra materialer. Rent æstetiske og arkitektoniske hensyn tænkes derimod ikke omfattet af undtagelsen.</w:t>
            </w:r>
          </w:p>
          <w:p w14:paraId="4041ECDC" w14:textId="77777777" w:rsidR="0036588E" w:rsidRPr="00245894" w:rsidRDefault="0036588E" w:rsidP="00324A26">
            <w:pPr>
              <w:pStyle w:val="TableParagraph"/>
              <w:ind w:right="259"/>
              <w:rPr>
                <w:sz w:val="16"/>
                <w:szCs w:val="16"/>
                <w:lang w:val="da-DK"/>
              </w:rPr>
            </w:pPr>
          </w:p>
          <w:p w14:paraId="3C2890C2" w14:textId="77777777" w:rsidR="0036588E" w:rsidRPr="00E93010" w:rsidRDefault="0036588E" w:rsidP="00324A26">
            <w:pPr>
              <w:pStyle w:val="TableParagraph"/>
              <w:ind w:right="740"/>
              <w:rPr>
                <w:sz w:val="16"/>
                <w:szCs w:val="16"/>
                <w:lang w:val="da-DK"/>
              </w:rPr>
            </w:pPr>
            <w:r w:rsidRPr="00E93010">
              <w:rPr>
                <w:sz w:val="16"/>
                <w:szCs w:val="16"/>
                <w:lang w:val="da-DK"/>
              </w:rPr>
              <w:t>Undtagelsen vedrører alene om byggeriet holder sig inden for grænseværdien. Det grundlæggende dokumentationskrav i § 297 berøres ikke af undtagelsen.</w:t>
            </w:r>
          </w:p>
          <w:p w14:paraId="7B463E56" w14:textId="77777777" w:rsidR="0036588E" w:rsidRPr="00E93010" w:rsidRDefault="0036588E" w:rsidP="00324A26">
            <w:pPr>
              <w:pStyle w:val="TableParagraph"/>
              <w:spacing w:before="2"/>
              <w:ind w:left="0"/>
              <w:rPr>
                <w:sz w:val="16"/>
                <w:szCs w:val="16"/>
                <w:lang w:val="da-DK"/>
              </w:rPr>
            </w:pPr>
          </w:p>
          <w:p w14:paraId="50D25D9B" w14:textId="77777777" w:rsidR="0036588E" w:rsidRDefault="0036588E" w:rsidP="00324A26">
            <w:pPr>
              <w:pStyle w:val="TableParagraph"/>
              <w:ind w:right="420"/>
              <w:rPr>
                <w:sz w:val="16"/>
                <w:szCs w:val="16"/>
                <w:lang w:val="da-DK"/>
              </w:rPr>
            </w:pPr>
            <w:r w:rsidRPr="00E93010">
              <w:rPr>
                <w:sz w:val="16"/>
                <w:szCs w:val="16"/>
                <w:lang w:val="da-DK"/>
              </w:rPr>
              <w:t xml:space="preserve">Den nye vejledning, der vil indgå i bygningsreglementet til denne bestemmelse, vil så vidt muligt indeholde en liste med konkrete eksempler på </w:t>
            </w:r>
            <w:r w:rsidRPr="00E93010">
              <w:rPr>
                <w:position w:val="2"/>
                <w:sz w:val="16"/>
                <w:szCs w:val="16"/>
                <w:lang w:val="da-DK"/>
              </w:rPr>
              <w:t xml:space="preserve">typiske forhold, som </w:t>
            </w:r>
            <w:proofErr w:type="gramStart"/>
            <w:r w:rsidRPr="00E93010">
              <w:rPr>
                <w:position w:val="2"/>
                <w:sz w:val="16"/>
                <w:szCs w:val="16"/>
                <w:lang w:val="da-DK"/>
              </w:rPr>
              <w:t>forudsættes</w:t>
            </w:r>
            <w:proofErr w:type="gramEnd"/>
            <w:r w:rsidRPr="00E93010">
              <w:rPr>
                <w:position w:val="2"/>
                <w:sz w:val="16"/>
                <w:szCs w:val="16"/>
                <w:lang w:val="da-DK"/>
              </w:rPr>
              <w:t xml:space="preserve"> omfattede af undtagelsen eller ej. Vejledningen til bestemmelsen vil også beskrive hvordan beregningen af CO</w:t>
            </w:r>
            <w:r w:rsidRPr="00E93010">
              <w:rPr>
                <w:sz w:val="16"/>
                <w:szCs w:val="16"/>
                <w:lang w:val="da-DK"/>
              </w:rPr>
              <w:t>2</w:t>
            </w:r>
            <w:r w:rsidRPr="00E93010">
              <w:rPr>
                <w:position w:val="2"/>
                <w:sz w:val="16"/>
                <w:szCs w:val="16"/>
                <w:lang w:val="da-DK"/>
              </w:rPr>
              <w:t xml:space="preserve">- </w:t>
            </w:r>
            <w:r w:rsidRPr="00E93010">
              <w:rPr>
                <w:sz w:val="16"/>
                <w:szCs w:val="16"/>
                <w:lang w:val="da-DK"/>
              </w:rPr>
              <w:t xml:space="preserve">udledningen af de særlige forhold foretages. Vejledningen er tiltænkt at understøtte bygningsejerens forståelse af, om bygningen er omfattet af bestemmelsen og hvordan man håndterer en konkret situation i en bygning med særlige forhold. Vejledningen bliver udarbejdet med væsentlig brancheinddragelse. </w:t>
            </w:r>
            <w:proofErr w:type="spellStart"/>
            <w:r w:rsidRPr="00E93010">
              <w:rPr>
                <w:sz w:val="16"/>
                <w:szCs w:val="16"/>
                <w:lang w:val="da-DK"/>
              </w:rPr>
              <w:t>LCAbyg</w:t>
            </w:r>
            <w:proofErr w:type="spellEnd"/>
            <w:r w:rsidRPr="00E93010">
              <w:rPr>
                <w:sz w:val="16"/>
                <w:szCs w:val="16"/>
                <w:lang w:val="da-DK"/>
              </w:rPr>
              <w:t xml:space="preserve"> vil give mulighed for at foretage beregning af undtagelsen.</w:t>
            </w:r>
          </w:p>
          <w:p w14:paraId="315DE098" w14:textId="77777777" w:rsidR="0036588E" w:rsidRDefault="0036588E" w:rsidP="00324A26">
            <w:pPr>
              <w:pStyle w:val="TableParagraph"/>
              <w:ind w:right="420"/>
              <w:rPr>
                <w:sz w:val="16"/>
                <w:szCs w:val="16"/>
                <w:lang w:val="da-DK"/>
              </w:rPr>
            </w:pPr>
          </w:p>
          <w:p w14:paraId="797E0686" w14:textId="77777777" w:rsidR="0036588E" w:rsidRDefault="0036588E" w:rsidP="00324A26">
            <w:pPr>
              <w:pStyle w:val="TableParagraph"/>
              <w:ind w:right="420"/>
              <w:rPr>
                <w:sz w:val="16"/>
                <w:szCs w:val="16"/>
                <w:lang w:val="da-DK"/>
              </w:rPr>
            </w:pPr>
            <w:r w:rsidRPr="00E93010">
              <w:rPr>
                <w:sz w:val="16"/>
                <w:szCs w:val="16"/>
                <w:lang w:val="da-DK"/>
              </w:rPr>
              <w:t xml:space="preserve">Efterhånden som der indhentes erfaringer med undtagelsesbestemmelsen, kan vejledningen uddybes med flere eksempler. </w:t>
            </w:r>
            <w:r w:rsidRPr="00245894">
              <w:rPr>
                <w:sz w:val="16"/>
                <w:szCs w:val="16"/>
                <w:lang w:val="da-DK"/>
              </w:rPr>
              <w:t>Dette kan bidrage til en ensartet anvendelse af undtagelsen.</w:t>
            </w:r>
          </w:p>
          <w:p w14:paraId="72CD44AD" w14:textId="77777777" w:rsidR="0036588E" w:rsidRPr="00245894" w:rsidRDefault="0036588E" w:rsidP="00324A26">
            <w:pPr>
              <w:pStyle w:val="TableParagraph"/>
              <w:ind w:right="420"/>
              <w:rPr>
                <w:sz w:val="16"/>
                <w:szCs w:val="16"/>
                <w:lang w:val="da-DK"/>
              </w:rPr>
            </w:pPr>
          </w:p>
        </w:tc>
        <w:tc>
          <w:tcPr>
            <w:tcW w:w="3815" w:type="dxa"/>
          </w:tcPr>
          <w:p w14:paraId="47D0A6BF" w14:textId="77777777" w:rsidR="0036588E" w:rsidRPr="00E93010" w:rsidRDefault="0036588E" w:rsidP="00324A26">
            <w:pPr>
              <w:rPr>
                <w:rFonts w:ascii="Georgia" w:hAnsi="Georgia"/>
                <w:sz w:val="16"/>
                <w:szCs w:val="16"/>
              </w:rPr>
            </w:pPr>
          </w:p>
        </w:tc>
        <w:tc>
          <w:tcPr>
            <w:tcW w:w="2989" w:type="dxa"/>
          </w:tcPr>
          <w:p w14:paraId="2A99B7A4" w14:textId="77777777" w:rsidR="0036588E" w:rsidRPr="00E93010" w:rsidRDefault="0036588E" w:rsidP="00324A26">
            <w:pPr>
              <w:rPr>
                <w:rFonts w:ascii="Georgia" w:hAnsi="Georgia"/>
                <w:sz w:val="16"/>
                <w:szCs w:val="16"/>
              </w:rPr>
            </w:pPr>
          </w:p>
        </w:tc>
      </w:tr>
      <w:tr w:rsidR="0036588E" w:rsidRPr="00E93010" w14:paraId="768949F3" w14:textId="77777777" w:rsidTr="00324A26">
        <w:tc>
          <w:tcPr>
            <w:tcW w:w="562" w:type="dxa"/>
            <w:shd w:val="clear" w:color="auto" w:fill="E7E6E6" w:themeFill="background2"/>
          </w:tcPr>
          <w:p w14:paraId="7DB7C227" w14:textId="77777777" w:rsidR="0036588E" w:rsidRPr="00E93010" w:rsidRDefault="0036588E" w:rsidP="00324A26">
            <w:pPr>
              <w:rPr>
                <w:rFonts w:ascii="Georgia" w:hAnsi="Georgia"/>
                <w:sz w:val="16"/>
                <w:szCs w:val="16"/>
              </w:rPr>
            </w:pPr>
            <w:r w:rsidRPr="00E93010">
              <w:rPr>
                <w:rFonts w:ascii="Georgia" w:hAnsi="Georgia"/>
                <w:b/>
                <w:sz w:val="16"/>
                <w:szCs w:val="16"/>
              </w:rPr>
              <w:t>12.</w:t>
            </w:r>
          </w:p>
        </w:tc>
        <w:tc>
          <w:tcPr>
            <w:tcW w:w="3544" w:type="dxa"/>
            <w:shd w:val="clear" w:color="auto" w:fill="E7E6E6" w:themeFill="background2"/>
          </w:tcPr>
          <w:p w14:paraId="0DA04590" w14:textId="77777777" w:rsidR="0036588E" w:rsidRDefault="0036588E" w:rsidP="00324A26">
            <w:pPr>
              <w:rPr>
                <w:rFonts w:ascii="Georgia" w:hAnsi="Georgia"/>
                <w:sz w:val="16"/>
                <w:szCs w:val="16"/>
              </w:rPr>
            </w:pPr>
            <w:r w:rsidRPr="00E93010">
              <w:rPr>
                <w:rFonts w:ascii="Georgia" w:hAnsi="Georgia"/>
                <w:i/>
                <w:sz w:val="16"/>
                <w:szCs w:val="16"/>
              </w:rPr>
              <w:t xml:space="preserve">§§ 298 a - 298 b </w:t>
            </w:r>
            <w:r w:rsidRPr="00E93010">
              <w:rPr>
                <w:rFonts w:ascii="Georgia" w:hAnsi="Georgia"/>
                <w:sz w:val="16"/>
                <w:szCs w:val="16"/>
              </w:rPr>
              <w:t>ophæves.</w:t>
            </w:r>
          </w:p>
          <w:p w14:paraId="58994E4C"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0C5DA12A" w14:textId="77777777" w:rsidR="0036588E" w:rsidRPr="00E93010" w:rsidRDefault="0036588E" w:rsidP="00324A26">
            <w:pPr>
              <w:rPr>
                <w:rFonts w:ascii="Georgia" w:hAnsi="Georgia"/>
                <w:sz w:val="16"/>
                <w:szCs w:val="16"/>
              </w:rPr>
            </w:pPr>
          </w:p>
        </w:tc>
        <w:tc>
          <w:tcPr>
            <w:tcW w:w="3815" w:type="dxa"/>
          </w:tcPr>
          <w:p w14:paraId="7EFC7CC7" w14:textId="77777777" w:rsidR="0036588E" w:rsidRPr="00E93010" w:rsidRDefault="0036588E" w:rsidP="00324A26">
            <w:pPr>
              <w:rPr>
                <w:rFonts w:ascii="Georgia" w:hAnsi="Georgia"/>
                <w:sz w:val="16"/>
                <w:szCs w:val="16"/>
              </w:rPr>
            </w:pPr>
          </w:p>
        </w:tc>
        <w:tc>
          <w:tcPr>
            <w:tcW w:w="2989" w:type="dxa"/>
          </w:tcPr>
          <w:p w14:paraId="374BEB29" w14:textId="77777777" w:rsidR="0036588E" w:rsidRPr="00E93010" w:rsidRDefault="0036588E" w:rsidP="00324A26">
            <w:pPr>
              <w:rPr>
                <w:rFonts w:ascii="Georgia" w:hAnsi="Georgia"/>
                <w:sz w:val="16"/>
                <w:szCs w:val="16"/>
              </w:rPr>
            </w:pPr>
          </w:p>
        </w:tc>
      </w:tr>
      <w:tr w:rsidR="0036588E" w:rsidRPr="00E93010" w14:paraId="19C413F2" w14:textId="77777777" w:rsidTr="00324A26">
        <w:tc>
          <w:tcPr>
            <w:tcW w:w="562" w:type="dxa"/>
            <w:shd w:val="clear" w:color="auto" w:fill="E7E6E6" w:themeFill="background2"/>
          </w:tcPr>
          <w:p w14:paraId="0BE6E91D" w14:textId="77777777" w:rsidR="0036588E" w:rsidRPr="00E93010" w:rsidRDefault="0036588E" w:rsidP="00324A26">
            <w:pPr>
              <w:rPr>
                <w:rFonts w:ascii="Georgia" w:hAnsi="Georgia"/>
                <w:sz w:val="16"/>
                <w:szCs w:val="16"/>
              </w:rPr>
            </w:pPr>
            <w:r w:rsidRPr="00E93010">
              <w:rPr>
                <w:rFonts w:ascii="Georgia" w:hAnsi="Georgia"/>
                <w:b/>
                <w:sz w:val="16"/>
                <w:szCs w:val="16"/>
              </w:rPr>
              <w:t>13.</w:t>
            </w:r>
          </w:p>
        </w:tc>
        <w:tc>
          <w:tcPr>
            <w:tcW w:w="3544" w:type="dxa"/>
            <w:shd w:val="clear" w:color="auto" w:fill="E7E6E6" w:themeFill="background2"/>
          </w:tcPr>
          <w:p w14:paraId="3489BE80" w14:textId="77777777" w:rsidR="0036588E" w:rsidRDefault="0036588E" w:rsidP="00324A26">
            <w:pPr>
              <w:rPr>
                <w:rFonts w:ascii="Georgia" w:hAnsi="Georgia"/>
                <w:sz w:val="16"/>
                <w:szCs w:val="16"/>
              </w:rPr>
            </w:pPr>
            <w:r w:rsidRPr="00E93010">
              <w:rPr>
                <w:rFonts w:ascii="Georgia" w:hAnsi="Georgia"/>
                <w:sz w:val="16"/>
                <w:szCs w:val="16"/>
              </w:rPr>
              <w:t xml:space="preserve">Som </w:t>
            </w:r>
            <w:r w:rsidRPr="00E93010">
              <w:rPr>
                <w:rFonts w:ascii="Georgia" w:hAnsi="Georgia"/>
                <w:i/>
                <w:sz w:val="16"/>
                <w:szCs w:val="16"/>
              </w:rPr>
              <w:t xml:space="preserve">bilag 2, tabel 6 </w:t>
            </w:r>
            <w:r w:rsidRPr="00E93010">
              <w:rPr>
                <w:rFonts w:ascii="Georgia" w:hAnsi="Georgia"/>
                <w:sz w:val="16"/>
                <w:szCs w:val="16"/>
              </w:rPr>
              <w:t>indsættes bilag 1 til denne bekendtgørelse.</w:t>
            </w:r>
          </w:p>
          <w:p w14:paraId="235DFA7C"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675F338C" w14:textId="77777777" w:rsidR="0036588E" w:rsidRPr="00E93010" w:rsidRDefault="0036588E" w:rsidP="00324A26">
            <w:pPr>
              <w:rPr>
                <w:rFonts w:ascii="Georgia" w:hAnsi="Georgia"/>
                <w:sz w:val="16"/>
                <w:szCs w:val="16"/>
              </w:rPr>
            </w:pPr>
          </w:p>
        </w:tc>
        <w:tc>
          <w:tcPr>
            <w:tcW w:w="3815" w:type="dxa"/>
          </w:tcPr>
          <w:p w14:paraId="4A496D28" w14:textId="77777777" w:rsidR="0036588E" w:rsidRPr="00E93010" w:rsidRDefault="0036588E" w:rsidP="00324A26">
            <w:pPr>
              <w:rPr>
                <w:rFonts w:ascii="Georgia" w:hAnsi="Georgia"/>
                <w:sz w:val="16"/>
                <w:szCs w:val="16"/>
              </w:rPr>
            </w:pPr>
          </w:p>
        </w:tc>
        <w:tc>
          <w:tcPr>
            <w:tcW w:w="2989" w:type="dxa"/>
          </w:tcPr>
          <w:p w14:paraId="7DED7590" w14:textId="77777777" w:rsidR="0036588E" w:rsidRPr="00E93010" w:rsidRDefault="0036588E" w:rsidP="00324A26">
            <w:pPr>
              <w:rPr>
                <w:rFonts w:ascii="Georgia" w:hAnsi="Georgia"/>
                <w:sz w:val="16"/>
                <w:szCs w:val="16"/>
              </w:rPr>
            </w:pPr>
          </w:p>
        </w:tc>
      </w:tr>
      <w:tr w:rsidR="0036588E" w:rsidRPr="00E93010" w14:paraId="2D89FE4F" w14:textId="77777777" w:rsidTr="00324A26">
        <w:tc>
          <w:tcPr>
            <w:tcW w:w="562" w:type="dxa"/>
            <w:shd w:val="clear" w:color="auto" w:fill="E7E6E6" w:themeFill="background2"/>
          </w:tcPr>
          <w:p w14:paraId="123DDD7E" w14:textId="77777777" w:rsidR="0036588E" w:rsidRPr="00E93010" w:rsidRDefault="0036588E" w:rsidP="00324A26">
            <w:pPr>
              <w:rPr>
                <w:rFonts w:ascii="Georgia" w:hAnsi="Georgia"/>
                <w:sz w:val="16"/>
                <w:szCs w:val="16"/>
              </w:rPr>
            </w:pPr>
            <w:r w:rsidRPr="00E93010">
              <w:rPr>
                <w:rFonts w:ascii="Georgia" w:hAnsi="Georgia"/>
                <w:b/>
                <w:sz w:val="16"/>
                <w:szCs w:val="16"/>
              </w:rPr>
              <w:t>14.</w:t>
            </w:r>
          </w:p>
        </w:tc>
        <w:tc>
          <w:tcPr>
            <w:tcW w:w="3544" w:type="dxa"/>
            <w:shd w:val="clear" w:color="auto" w:fill="E7E6E6" w:themeFill="background2"/>
          </w:tcPr>
          <w:p w14:paraId="6A66F58D" w14:textId="77777777" w:rsidR="0036588E" w:rsidRDefault="0036588E" w:rsidP="00324A26">
            <w:pPr>
              <w:rPr>
                <w:rFonts w:ascii="Georgia" w:hAnsi="Georgia"/>
                <w:sz w:val="16"/>
                <w:szCs w:val="16"/>
              </w:rPr>
            </w:pPr>
            <w:r w:rsidRPr="00E93010">
              <w:rPr>
                <w:rFonts w:ascii="Georgia" w:hAnsi="Georgia"/>
                <w:sz w:val="16"/>
                <w:szCs w:val="16"/>
              </w:rPr>
              <w:t xml:space="preserve">Som </w:t>
            </w:r>
            <w:r w:rsidRPr="00E93010">
              <w:rPr>
                <w:rFonts w:ascii="Georgia" w:hAnsi="Georgia"/>
                <w:i/>
                <w:sz w:val="16"/>
                <w:szCs w:val="16"/>
              </w:rPr>
              <w:t xml:space="preserve">bilag 2, tabel 7 </w:t>
            </w:r>
            <w:r w:rsidRPr="00E93010">
              <w:rPr>
                <w:rFonts w:ascii="Georgia" w:hAnsi="Georgia"/>
                <w:sz w:val="16"/>
                <w:szCs w:val="16"/>
              </w:rPr>
              <w:t>indsættes bilag 2 til denne bekendtgørelse.</w:t>
            </w:r>
          </w:p>
          <w:p w14:paraId="0AE706B4"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5BF8F11E" w14:textId="77777777" w:rsidR="0036588E" w:rsidRPr="00E93010" w:rsidRDefault="0036588E" w:rsidP="00324A26">
            <w:pPr>
              <w:rPr>
                <w:rFonts w:ascii="Georgia" w:hAnsi="Georgia"/>
                <w:sz w:val="16"/>
                <w:szCs w:val="16"/>
              </w:rPr>
            </w:pPr>
          </w:p>
        </w:tc>
        <w:tc>
          <w:tcPr>
            <w:tcW w:w="3815" w:type="dxa"/>
          </w:tcPr>
          <w:p w14:paraId="784701E8" w14:textId="77777777" w:rsidR="0036588E" w:rsidRPr="00E93010" w:rsidRDefault="0036588E" w:rsidP="00324A26">
            <w:pPr>
              <w:rPr>
                <w:rFonts w:ascii="Georgia" w:hAnsi="Georgia"/>
                <w:sz w:val="16"/>
                <w:szCs w:val="16"/>
              </w:rPr>
            </w:pPr>
          </w:p>
        </w:tc>
        <w:tc>
          <w:tcPr>
            <w:tcW w:w="2989" w:type="dxa"/>
          </w:tcPr>
          <w:p w14:paraId="572124B4" w14:textId="77777777" w:rsidR="0036588E" w:rsidRPr="00E93010" w:rsidRDefault="0036588E" w:rsidP="00324A26">
            <w:pPr>
              <w:rPr>
                <w:rFonts w:ascii="Georgia" w:hAnsi="Georgia"/>
                <w:sz w:val="16"/>
                <w:szCs w:val="16"/>
              </w:rPr>
            </w:pPr>
          </w:p>
        </w:tc>
      </w:tr>
      <w:tr w:rsidR="0036588E" w:rsidRPr="00E93010" w14:paraId="03F76691" w14:textId="77777777" w:rsidTr="00324A26">
        <w:tc>
          <w:tcPr>
            <w:tcW w:w="562" w:type="dxa"/>
            <w:shd w:val="clear" w:color="auto" w:fill="E7E6E6" w:themeFill="background2"/>
          </w:tcPr>
          <w:p w14:paraId="21EDEC46" w14:textId="77777777" w:rsidR="0036588E" w:rsidRPr="00E93010" w:rsidRDefault="0036588E" w:rsidP="00324A26">
            <w:pPr>
              <w:rPr>
                <w:rFonts w:ascii="Georgia" w:hAnsi="Georgia"/>
                <w:sz w:val="16"/>
                <w:szCs w:val="16"/>
              </w:rPr>
            </w:pPr>
            <w:r w:rsidRPr="00E93010">
              <w:rPr>
                <w:rFonts w:ascii="Georgia" w:hAnsi="Georgia"/>
                <w:b/>
                <w:sz w:val="16"/>
                <w:szCs w:val="16"/>
              </w:rPr>
              <w:t>15.</w:t>
            </w:r>
          </w:p>
        </w:tc>
        <w:tc>
          <w:tcPr>
            <w:tcW w:w="3544" w:type="dxa"/>
            <w:shd w:val="clear" w:color="auto" w:fill="E7E6E6" w:themeFill="background2"/>
          </w:tcPr>
          <w:p w14:paraId="3F8E0F86" w14:textId="77777777" w:rsidR="0036588E" w:rsidRDefault="0036588E" w:rsidP="00324A26">
            <w:pPr>
              <w:rPr>
                <w:rFonts w:ascii="Georgia" w:hAnsi="Georgia"/>
                <w:sz w:val="16"/>
                <w:szCs w:val="16"/>
              </w:rPr>
            </w:pPr>
            <w:r w:rsidRPr="00E93010">
              <w:rPr>
                <w:rFonts w:ascii="Georgia" w:hAnsi="Georgia"/>
                <w:sz w:val="16"/>
                <w:szCs w:val="16"/>
              </w:rPr>
              <w:t xml:space="preserve">Som </w:t>
            </w:r>
            <w:r w:rsidRPr="00E93010">
              <w:rPr>
                <w:rFonts w:ascii="Georgia" w:hAnsi="Georgia"/>
                <w:i/>
                <w:sz w:val="16"/>
                <w:szCs w:val="16"/>
              </w:rPr>
              <w:t xml:space="preserve">bilag 2, tabel 8 </w:t>
            </w:r>
            <w:r w:rsidRPr="00E93010">
              <w:rPr>
                <w:rFonts w:ascii="Georgia" w:hAnsi="Georgia"/>
                <w:sz w:val="16"/>
                <w:szCs w:val="16"/>
              </w:rPr>
              <w:t>indsættes bilag 3 til denne bekendtgørelse.</w:t>
            </w:r>
          </w:p>
          <w:p w14:paraId="47F65634"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5055F084" w14:textId="77777777" w:rsidR="0036588E" w:rsidRPr="00E93010" w:rsidRDefault="0036588E" w:rsidP="00324A26">
            <w:pPr>
              <w:rPr>
                <w:rFonts w:ascii="Georgia" w:hAnsi="Georgia"/>
                <w:sz w:val="16"/>
                <w:szCs w:val="16"/>
              </w:rPr>
            </w:pPr>
          </w:p>
        </w:tc>
        <w:tc>
          <w:tcPr>
            <w:tcW w:w="3815" w:type="dxa"/>
          </w:tcPr>
          <w:p w14:paraId="0BF8D9D0" w14:textId="77777777" w:rsidR="0036588E" w:rsidRPr="00E93010" w:rsidRDefault="0036588E" w:rsidP="00324A26">
            <w:pPr>
              <w:rPr>
                <w:rFonts w:ascii="Georgia" w:hAnsi="Georgia"/>
                <w:sz w:val="16"/>
                <w:szCs w:val="16"/>
              </w:rPr>
            </w:pPr>
          </w:p>
        </w:tc>
        <w:tc>
          <w:tcPr>
            <w:tcW w:w="2989" w:type="dxa"/>
          </w:tcPr>
          <w:p w14:paraId="64C8BC94" w14:textId="77777777" w:rsidR="0036588E" w:rsidRPr="00E93010" w:rsidRDefault="0036588E" w:rsidP="00324A26">
            <w:pPr>
              <w:rPr>
                <w:rFonts w:ascii="Georgia" w:hAnsi="Georgia"/>
                <w:sz w:val="16"/>
                <w:szCs w:val="16"/>
              </w:rPr>
            </w:pPr>
          </w:p>
        </w:tc>
      </w:tr>
      <w:tr w:rsidR="0036588E" w:rsidRPr="00E93010" w14:paraId="0B741321" w14:textId="77777777" w:rsidTr="00324A26">
        <w:tc>
          <w:tcPr>
            <w:tcW w:w="562" w:type="dxa"/>
            <w:shd w:val="clear" w:color="auto" w:fill="E7E6E6" w:themeFill="background2"/>
          </w:tcPr>
          <w:p w14:paraId="45267243"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6EFA46E9" w14:textId="77777777" w:rsidR="0036588E" w:rsidRPr="00E93010" w:rsidRDefault="0036588E" w:rsidP="00324A26">
            <w:pPr>
              <w:pStyle w:val="TableParagraph"/>
              <w:spacing w:before="10"/>
              <w:ind w:left="0"/>
              <w:jc w:val="center"/>
              <w:rPr>
                <w:sz w:val="16"/>
                <w:szCs w:val="16"/>
                <w:lang w:val="da-DK"/>
              </w:rPr>
            </w:pPr>
          </w:p>
          <w:p w14:paraId="127F38EE" w14:textId="77777777" w:rsidR="0036588E" w:rsidRDefault="0036588E" w:rsidP="00324A26">
            <w:pPr>
              <w:jc w:val="center"/>
              <w:rPr>
                <w:rFonts w:ascii="Georgia" w:hAnsi="Georgia"/>
                <w:b/>
                <w:sz w:val="16"/>
                <w:szCs w:val="16"/>
              </w:rPr>
            </w:pPr>
            <w:r w:rsidRPr="00E93010">
              <w:rPr>
                <w:rFonts w:ascii="Georgia" w:hAnsi="Georgia"/>
                <w:b/>
                <w:sz w:val="16"/>
                <w:szCs w:val="16"/>
              </w:rPr>
              <w:t>§ 2.</w:t>
            </w:r>
          </w:p>
          <w:p w14:paraId="35B7C5AC" w14:textId="77777777" w:rsidR="0036588E" w:rsidRPr="00E93010" w:rsidRDefault="0036588E" w:rsidP="00324A26">
            <w:pPr>
              <w:jc w:val="center"/>
              <w:rPr>
                <w:rFonts w:ascii="Georgia" w:hAnsi="Georgia"/>
                <w:sz w:val="16"/>
                <w:szCs w:val="16"/>
              </w:rPr>
            </w:pPr>
          </w:p>
        </w:tc>
        <w:tc>
          <w:tcPr>
            <w:tcW w:w="4536" w:type="dxa"/>
            <w:shd w:val="clear" w:color="auto" w:fill="E7E6E6" w:themeFill="background2"/>
          </w:tcPr>
          <w:p w14:paraId="66272EB3" w14:textId="77777777" w:rsidR="0036588E" w:rsidRPr="00E93010" w:rsidRDefault="0036588E" w:rsidP="00324A26">
            <w:pPr>
              <w:rPr>
                <w:rFonts w:ascii="Georgia" w:hAnsi="Georgia"/>
                <w:sz w:val="16"/>
                <w:szCs w:val="16"/>
              </w:rPr>
            </w:pPr>
          </w:p>
        </w:tc>
        <w:tc>
          <w:tcPr>
            <w:tcW w:w="3815" w:type="dxa"/>
          </w:tcPr>
          <w:p w14:paraId="0837735B" w14:textId="77777777" w:rsidR="0036588E" w:rsidRPr="00E93010" w:rsidRDefault="0036588E" w:rsidP="00324A26">
            <w:pPr>
              <w:rPr>
                <w:rFonts w:ascii="Georgia" w:hAnsi="Georgia"/>
                <w:sz w:val="16"/>
                <w:szCs w:val="16"/>
              </w:rPr>
            </w:pPr>
          </w:p>
        </w:tc>
        <w:tc>
          <w:tcPr>
            <w:tcW w:w="2989" w:type="dxa"/>
          </w:tcPr>
          <w:p w14:paraId="525113DE" w14:textId="77777777" w:rsidR="0036588E" w:rsidRPr="00E93010" w:rsidRDefault="0036588E" w:rsidP="00324A26">
            <w:pPr>
              <w:rPr>
                <w:rFonts w:ascii="Georgia" w:hAnsi="Georgia"/>
                <w:sz w:val="16"/>
                <w:szCs w:val="16"/>
              </w:rPr>
            </w:pPr>
          </w:p>
        </w:tc>
      </w:tr>
      <w:tr w:rsidR="0036588E" w:rsidRPr="00E93010" w14:paraId="30FEB521" w14:textId="77777777" w:rsidTr="00324A26">
        <w:tc>
          <w:tcPr>
            <w:tcW w:w="562" w:type="dxa"/>
            <w:shd w:val="clear" w:color="auto" w:fill="E7E6E6" w:themeFill="background2"/>
          </w:tcPr>
          <w:p w14:paraId="7F0E868B"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6B4C6D1E" w14:textId="77777777" w:rsidR="0036588E" w:rsidRDefault="0036588E" w:rsidP="00324A26">
            <w:pPr>
              <w:rPr>
                <w:rFonts w:ascii="Georgia" w:hAnsi="Georgia"/>
                <w:sz w:val="16"/>
                <w:szCs w:val="16"/>
              </w:rPr>
            </w:pPr>
            <w:r w:rsidRPr="00E93010">
              <w:rPr>
                <w:rFonts w:ascii="Georgia" w:hAnsi="Georgia"/>
                <w:i/>
                <w:sz w:val="16"/>
                <w:szCs w:val="16"/>
              </w:rPr>
              <w:t>Stk. 1</w:t>
            </w:r>
            <w:r w:rsidRPr="00E93010">
              <w:rPr>
                <w:rFonts w:ascii="Georgia" w:hAnsi="Georgia"/>
                <w:sz w:val="16"/>
                <w:szCs w:val="16"/>
              </w:rPr>
              <w:t>. Bekendtgørelsen træder i kraft den 1. januar 2023.</w:t>
            </w:r>
          </w:p>
          <w:p w14:paraId="6E030404"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04BE11DB" w14:textId="77777777" w:rsidR="0036588E" w:rsidRPr="00E93010" w:rsidRDefault="0036588E" w:rsidP="00324A26">
            <w:pPr>
              <w:rPr>
                <w:rFonts w:ascii="Georgia" w:hAnsi="Georgia"/>
                <w:sz w:val="16"/>
                <w:szCs w:val="16"/>
              </w:rPr>
            </w:pPr>
          </w:p>
        </w:tc>
        <w:tc>
          <w:tcPr>
            <w:tcW w:w="3815" w:type="dxa"/>
          </w:tcPr>
          <w:p w14:paraId="0ABFB08A" w14:textId="77777777" w:rsidR="0036588E" w:rsidRPr="00E93010" w:rsidRDefault="0036588E" w:rsidP="00324A26">
            <w:pPr>
              <w:rPr>
                <w:rFonts w:ascii="Georgia" w:hAnsi="Georgia"/>
                <w:sz w:val="16"/>
                <w:szCs w:val="16"/>
              </w:rPr>
            </w:pPr>
          </w:p>
        </w:tc>
        <w:tc>
          <w:tcPr>
            <w:tcW w:w="2989" w:type="dxa"/>
          </w:tcPr>
          <w:p w14:paraId="76E45786" w14:textId="77777777" w:rsidR="0036588E" w:rsidRPr="00E93010" w:rsidRDefault="0036588E" w:rsidP="00324A26">
            <w:pPr>
              <w:rPr>
                <w:rFonts w:ascii="Georgia" w:hAnsi="Georgia"/>
                <w:sz w:val="16"/>
                <w:szCs w:val="16"/>
              </w:rPr>
            </w:pPr>
          </w:p>
        </w:tc>
      </w:tr>
      <w:tr w:rsidR="0036588E" w:rsidRPr="00E93010" w14:paraId="1B7961B9" w14:textId="77777777" w:rsidTr="00324A26">
        <w:tc>
          <w:tcPr>
            <w:tcW w:w="562" w:type="dxa"/>
            <w:shd w:val="clear" w:color="auto" w:fill="E7E6E6" w:themeFill="background2"/>
          </w:tcPr>
          <w:p w14:paraId="367779CC"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2088538A" w14:textId="77777777" w:rsidR="0036588E" w:rsidRPr="00E93010" w:rsidRDefault="0036588E" w:rsidP="00324A26">
            <w:pPr>
              <w:rPr>
                <w:rFonts w:ascii="Georgia" w:hAnsi="Georgia"/>
                <w:sz w:val="16"/>
                <w:szCs w:val="16"/>
              </w:rPr>
            </w:pPr>
            <w:r w:rsidRPr="00E93010">
              <w:rPr>
                <w:rFonts w:ascii="Georgia" w:hAnsi="Georgia"/>
                <w:i/>
                <w:sz w:val="16"/>
                <w:szCs w:val="16"/>
              </w:rPr>
              <w:t xml:space="preserve">Stk. 2. </w:t>
            </w:r>
            <w:r w:rsidRPr="00E93010">
              <w:rPr>
                <w:rFonts w:ascii="Georgia" w:hAnsi="Georgia"/>
                <w:sz w:val="16"/>
                <w:szCs w:val="16"/>
              </w:rPr>
              <w:t>Bekendtgørelsen finder ikke anvendelse på ansøgninger om byggetilladelse, der er indsendt før bekendtgørelsens ikrafttræden.</w:t>
            </w:r>
          </w:p>
        </w:tc>
        <w:tc>
          <w:tcPr>
            <w:tcW w:w="4536" w:type="dxa"/>
            <w:shd w:val="clear" w:color="auto" w:fill="E7E6E6" w:themeFill="background2"/>
          </w:tcPr>
          <w:p w14:paraId="28F9931A" w14:textId="77777777" w:rsidR="0036588E" w:rsidRDefault="0036588E" w:rsidP="00324A26">
            <w:pPr>
              <w:rPr>
                <w:rFonts w:ascii="Georgia" w:hAnsi="Georgia"/>
                <w:sz w:val="16"/>
                <w:szCs w:val="16"/>
              </w:rPr>
            </w:pPr>
            <w:r w:rsidRPr="00E93010">
              <w:rPr>
                <w:rFonts w:ascii="Georgia" w:hAnsi="Georgia"/>
                <w:sz w:val="16"/>
                <w:szCs w:val="16"/>
              </w:rPr>
              <w:t>Som andre bestemmelser i bygningsreglementet er det meningen med kravene til dokumentation og grænseværdi, at et nærmere bestemt byggeri skal vurderes ud fra tidspunktet for ansøgning om byggetilladelse. Hvis byggeriet derefter strækker sig over en årrække, og der på et senere tidspunkt fastsættes andre krav til dokumentation og grænseværdi, vil det fortsat være de krav, der var gældende på tidspunktet for byggetilladelse, som gælder for det pågældende byggeri. Det gælder fx det generiske datagrundlag.</w:t>
            </w:r>
          </w:p>
          <w:p w14:paraId="098D083E" w14:textId="77777777" w:rsidR="0036588E" w:rsidRPr="00E93010" w:rsidRDefault="0036588E" w:rsidP="00324A26">
            <w:pPr>
              <w:rPr>
                <w:rFonts w:ascii="Georgia" w:hAnsi="Georgia"/>
                <w:sz w:val="16"/>
                <w:szCs w:val="16"/>
              </w:rPr>
            </w:pPr>
          </w:p>
        </w:tc>
        <w:tc>
          <w:tcPr>
            <w:tcW w:w="3815" w:type="dxa"/>
          </w:tcPr>
          <w:p w14:paraId="0281E40E" w14:textId="77777777" w:rsidR="0036588E" w:rsidRPr="00E93010" w:rsidRDefault="0036588E" w:rsidP="00324A26">
            <w:pPr>
              <w:rPr>
                <w:rFonts w:ascii="Georgia" w:hAnsi="Georgia"/>
                <w:sz w:val="16"/>
                <w:szCs w:val="16"/>
              </w:rPr>
            </w:pPr>
          </w:p>
        </w:tc>
        <w:tc>
          <w:tcPr>
            <w:tcW w:w="2989" w:type="dxa"/>
          </w:tcPr>
          <w:p w14:paraId="4C16A309" w14:textId="77777777" w:rsidR="0036588E" w:rsidRPr="00E93010" w:rsidRDefault="0036588E" w:rsidP="00324A26">
            <w:pPr>
              <w:rPr>
                <w:rFonts w:ascii="Georgia" w:hAnsi="Georgia"/>
                <w:sz w:val="16"/>
                <w:szCs w:val="16"/>
              </w:rPr>
            </w:pPr>
          </w:p>
        </w:tc>
      </w:tr>
      <w:tr w:rsidR="0036588E" w:rsidRPr="00E93010" w14:paraId="6AFF4FF5" w14:textId="77777777" w:rsidTr="00324A26">
        <w:tc>
          <w:tcPr>
            <w:tcW w:w="562" w:type="dxa"/>
            <w:shd w:val="clear" w:color="auto" w:fill="E7E6E6" w:themeFill="background2"/>
          </w:tcPr>
          <w:p w14:paraId="1AA6AB55"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0707AD68"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4C9413DF" w14:textId="77777777" w:rsidR="0036588E" w:rsidRPr="00E93010" w:rsidRDefault="0036588E" w:rsidP="00324A26">
            <w:pPr>
              <w:rPr>
                <w:rFonts w:ascii="Georgia" w:hAnsi="Georgia"/>
                <w:sz w:val="16"/>
                <w:szCs w:val="16"/>
              </w:rPr>
            </w:pPr>
          </w:p>
        </w:tc>
        <w:tc>
          <w:tcPr>
            <w:tcW w:w="3815" w:type="dxa"/>
          </w:tcPr>
          <w:p w14:paraId="67CB287A" w14:textId="77777777" w:rsidR="0036588E" w:rsidRPr="00E93010" w:rsidRDefault="0036588E" w:rsidP="00324A26">
            <w:pPr>
              <w:rPr>
                <w:rFonts w:ascii="Georgia" w:hAnsi="Georgia"/>
                <w:sz w:val="16"/>
                <w:szCs w:val="16"/>
              </w:rPr>
            </w:pPr>
          </w:p>
        </w:tc>
        <w:tc>
          <w:tcPr>
            <w:tcW w:w="2989" w:type="dxa"/>
          </w:tcPr>
          <w:p w14:paraId="77DCC1AF" w14:textId="77777777" w:rsidR="0036588E" w:rsidRPr="00E93010" w:rsidRDefault="0036588E" w:rsidP="00324A26">
            <w:pPr>
              <w:rPr>
                <w:rFonts w:ascii="Georgia" w:hAnsi="Georgia"/>
                <w:sz w:val="16"/>
                <w:szCs w:val="16"/>
              </w:rPr>
            </w:pPr>
          </w:p>
        </w:tc>
      </w:tr>
      <w:tr w:rsidR="0036588E" w:rsidRPr="00E93010" w14:paraId="330CD981" w14:textId="77777777" w:rsidTr="00324A26">
        <w:tc>
          <w:tcPr>
            <w:tcW w:w="562" w:type="dxa"/>
            <w:shd w:val="clear" w:color="auto" w:fill="E7E6E6" w:themeFill="background2"/>
          </w:tcPr>
          <w:p w14:paraId="5FAB4DBB"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49D1F625" w14:textId="77777777" w:rsidR="0036588E" w:rsidRPr="00F17FD2" w:rsidRDefault="0036588E" w:rsidP="00324A26">
            <w:pPr>
              <w:ind w:left="101"/>
              <w:rPr>
                <w:rFonts w:ascii="Georgia" w:hAnsi="Georgia"/>
                <w:b/>
                <w:bCs/>
                <w:i/>
                <w:sz w:val="16"/>
                <w:szCs w:val="16"/>
              </w:rPr>
            </w:pPr>
            <w:r>
              <w:rPr>
                <w:rFonts w:ascii="Georgia" w:hAnsi="Georgia"/>
                <w:b/>
                <w:bCs/>
                <w:i/>
                <w:sz w:val="16"/>
                <w:szCs w:val="16"/>
              </w:rPr>
              <w:t>Bilag 1</w:t>
            </w:r>
          </w:p>
          <w:p w14:paraId="16DCC2E9" w14:textId="77777777" w:rsidR="0036588E" w:rsidRPr="00E93010" w:rsidRDefault="0036588E" w:rsidP="00324A26">
            <w:pPr>
              <w:ind w:left="101"/>
              <w:rPr>
                <w:rFonts w:ascii="Georgia" w:hAnsi="Georgia"/>
                <w:i/>
                <w:sz w:val="16"/>
                <w:szCs w:val="16"/>
              </w:rPr>
            </w:pPr>
            <w:r w:rsidRPr="00E93010">
              <w:rPr>
                <w:rFonts w:ascii="Georgia" w:hAnsi="Georgia"/>
                <w:i/>
                <w:sz w:val="16"/>
                <w:szCs w:val="16"/>
              </w:rPr>
              <w:t>Tabel 6 - Bygningsdele til beregning af klimapåvirkning</w:t>
            </w:r>
            <w:r w:rsidRPr="00E93010">
              <w:rPr>
                <w:rFonts w:ascii="Georgia" w:hAnsi="Georgia"/>
                <w:i/>
                <w:spacing w:val="-25"/>
                <w:sz w:val="16"/>
                <w:szCs w:val="16"/>
              </w:rPr>
              <w:t xml:space="preserve"> </w:t>
            </w:r>
            <w:r w:rsidRPr="00E93010">
              <w:rPr>
                <w:rFonts w:ascii="Georgia" w:hAnsi="Georgia"/>
                <w:i/>
                <w:sz w:val="16"/>
                <w:szCs w:val="16"/>
              </w:rPr>
              <w:t>2023</w:t>
            </w:r>
          </w:p>
          <w:p w14:paraId="2E2E137A"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38ADF6F4" w14:textId="77777777" w:rsidR="0036588E" w:rsidRPr="00E93010" w:rsidRDefault="0036588E" w:rsidP="00324A26">
            <w:pPr>
              <w:pStyle w:val="Brdtekst"/>
              <w:ind w:left="149"/>
              <w:rPr>
                <w:sz w:val="16"/>
                <w:szCs w:val="16"/>
                <w:lang w:val="da-DK"/>
              </w:rPr>
            </w:pPr>
            <w:r w:rsidRPr="00E93010">
              <w:rPr>
                <w:sz w:val="16"/>
                <w:szCs w:val="16"/>
                <w:lang w:val="da-DK"/>
              </w:rPr>
              <w:t xml:space="preserve">[Indhold vises i selvstændig </w:t>
            </w:r>
            <w:r>
              <w:rPr>
                <w:sz w:val="16"/>
                <w:szCs w:val="16"/>
                <w:lang w:val="da-DK"/>
              </w:rPr>
              <w:t>fil</w:t>
            </w:r>
            <w:r w:rsidRPr="00E93010">
              <w:rPr>
                <w:sz w:val="16"/>
                <w:szCs w:val="16"/>
                <w:lang w:val="da-DK"/>
              </w:rPr>
              <w:t>«</w:t>
            </w:r>
          </w:p>
          <w:p w14:paraId="04E7BAFF" w14:textId="77777777" w:rsidR="0036588E" w:rsidRPr="00E93010" w:rsidRDefault="0036588E" w:rsidP="00324A26">
            <w:pPr>
              <w:rPr>
                <w:rFonts w:ascii="Georgia" w:hAnsi="Georgia"/>
                <w:sz w:val="16"/>
                <w:szCs w:val="16"/>
              </w:rPr>
            </w:pPr>
          </w:p>
        </w:tc>
        <w:tc>
          <w:tcPr>
            <w:tcW w:w="3815" w:type="dxa"/>
          </w:tcPr>
          <w:p w14:paraId="48FD7FA2" w14:textId="77777777" w:rsidR="0036588E" w:rsidRPr="00E93010" w:rsidRDefault="0036588E" w:rsidP="00324A26">
            <w:pPr>
              <w:rPr>
                <w:rFonts w:ascii="Georgia" w:hAnsi="Georgia"/>
                <w:sz w:val="16"/>
                <w:szCs w:val="16"/>
              </w:rPr>
            </w:pPr>
          </w:p>
        </w:tc>
        <w:tc>
          <w:tcPr>
            <w:tcW w:w="2989" w:type="dxa"/>
          </w:tcPr>
          <w:p w14:paraId="40165021" w14:textId="77777777" w:rsidR="0036588E" w:rsidRPr="00E93010" w:rsidRDefault="0036588E" w:rsidP="00324A26">
            <w:pPr>
              <w:rPr>
                <w:rFonts w:ascii="Georgia" w:hAnsi="Georgia"/>
                <w:sz w:val="16"/>
                <w:szCs w:val="16"/>
              </w:rPr>
            </w:pPr>
          </w:p>
        </w:tc>
      </w:tr>
      <w:tr w:rsidR="0036588E" w:rsidRPr="00E93010" w14:paraId="6EB618A7" w14:textId="77777777" w:rsidTr="00324A26">
        <w:tc>
          <w:tcPr>
            <w:tcW w:w="562" w:type="dxa"/>
            <w:shd w:val="clear" w:color="auto" w:fill="E7E6E6" w:themeFill="background2"/>
          </w:tcPr>
          <w:p w14:paraId="0F0109B3"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35DDD7B8" w14:textId="77777777" w:rsidR="0036588E" w:rsidRPr="00F17FD2" w:rsidRDefault="0036588E" w:rsidP="00324A26">
            <w:pPr>
              <w:ind w:left="101"/>
              <w:rPr>
                <w:rFonts w:ascii="Georgia" w:hAnsi="Georgia"/>
                <w:b/>
                <w:bCs/>
                <w:i/>
                <w:sz w:val="16"/>
                <w:szCs w:val="16"/>
              </w:rPr>
            </w:pPr>
            <w:r>
              <w:rPr>
                <w:rFonts w:ascii="Georgia" w:hAnsi="Georgia"/>
                <w:b/>
                <w:bCs/>
                <w:i/>
                <w:sz w:val="16"/>
                <w:szCs w:val="16"/>
              </w:rPr>
              <w:t>Bilag 2</w:t>
            </w:r>
          </w:p>
          <w:p w14:paraId="1AA97075" w14:textId="77777777" w:rsidR="0036588E" w:rsidRPr="00E93010" w:rsidRDefault="0036588E" w:rsidP="00324A26">
            <w:pPr>
              <w:ind w:left="101"/>
              <w:rPr>
                <w:rFonts w:ascii="Georgia" w:hAnsi="Georgia"/>
                <w:i/>
                <w:sz w:val="16"/>
                <w:szCs w:val="16"/>
              </w:rPr>
            </w:pPr>
            <w:r w:rsidRPr="00E93010">
              <w:rPr>
                <w:rFonts w:ascii="Georgia" w:hAnsi="Georgia"/>
                <w:i/>
                <w:sz w:val="16"/>
                <w:szCs w:val="16"/>
              </w:rPr>
              <w:t>Tabel 7 - Generisk datagrundlag</w:t>
            </w:r>
            <w:r w:rsidRPr="00E93010">
              <w:rPr>
                <w:rFonts w:ascii="Georgia" w:hAnsi="Georgia"/>
                <w:i/>
                <w:spacing w:val="-15"/>
                <w:sz w:val="16"/>
                <w:szCs w:val="16"/>
              </w:rPr>
              <w:t xml:space="preserve"> </w:t>
            </w:r>
            <w:r w:rsidRPr="00E93010">
              <w:rPr>
                <w:rFonts w:ascii="Georgia" w:hAnsi="Georgia"/>
                <w:i/>
                <w:sz w:val="16"/>
                <w:szCs w:val="16"/>
              </w:rPr>
              <w:t>2023</w:t>
            </w:r>
          </w:p>
          <w:p w14:paraId="714BFE56"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0B690E2D" w14:textId="77777777" w:rsidR="0036588E" w:rsidRPr="00E93010" w:rsidRDefault="0036588E" w:rsidP="00324A26">
            <w:pPr>
              <w:pStyle w:val="Brdtekst"/>
              <w:ind w:left="149"/>
              <w:rPr>
                <w:sz w:val="16"/>
                <w:szCs w:val="16"/>
                <w:lang w:val="da-DK"/>
              </w:rPr>
            </w:pPr>
            <w:r w:rsidRPr="00E93010">
              <w:rPr>
                <w:sz w:val="16"/>
                <w:szCs w:val="16"/>
                <w:lang w:val="da-DK"/>
              </w:rPr>
              <w:t xml:space="preserve">[Indhold vises i selvstændig </w:t>
            </w:r>
            <w:r>
              <w:rPr>
                <w:sz w:val="16"/>
                <w:szCs w:val="16"/>
                <w:lang w:val="da-DK"/>
              </w:rPr>
              <w:t>fil</w:t>
            </w:r>
            <w:r w:rsidRPr="00E93010">
              <w:rPr>
                <w:sz w:val="16"/>
                <w:szCs w:val="16"/>
                <w:lang w:val="da-DK"/>
              </w:rPr>
              <w:t>]«</w:t>
            </w:r>
          </w:p>
          <w:p w14:paraId="58517B3C" w14:textId="77777777" w:rsidR="0036588E" w:rsidRPr="00E93010" w:rsidRDefault="0036588E" w:rsidP="00324A26">
            <w:pPr>
              <w:rPr>
                <w:rFonts w:ascii="Georgia" w:hAnsi="Georgia"/>
                <w:sz w:val="16"/>
                <w:szCs w:val="16"/>
              </w:rPr>
            </w:pPr>
          </w:p>
        </w:tc>
        <w:tc>
          <w:tcPr>
            <w:tcW w:w="3815" w:type="dxa"/>
          </w:tcPr>
          <w:p w14:paraId="48F1910D" w14:textId="77777777" w:rsidR="0036588E" w:rsidRPr="00E93010" w:rsidRDefault="0036588E" w:rsidP="00324A26">
            <w:pPr>
              <w:rPr>
                <w:rFonts w:ascii="Georgia" w:hAnsi="Georgia"/>
                <w:sz w:val="16"/>
                <w:szCs w:val="16"/>
              </w:rPr>
            </w:pPr>
          </w:p>
        </w:tc>
        <w:tc>
          <w:tcPr>
            <w:tcW w:w="2989" w:type="dxa"/>
          </w:tcPr>
          <w:p w14:paraId="76567AE8" w14:textId="77777777" w:rsidR="0036588E" w:rsidRPr="00E93010" w:rsidRDefault="0036588E" w:rsidP="00324A26">
            <w:pPr>
              <w:rPr>
                <w:rFonts w:ascii="Georgia" w:hAnsi="Georgia"/>
                <w:sz w:val="16"/>
                <w:szCs w:val="16"/>
              </w:rPr>
            </w:pPr>
          </w:p>
        </w:tc>
      </w:tr>
      <w:tr w:rsidR="0036588E" w:rsidRPr="00E93010" w14:paraId="758047B3" w14:textId="77777777" w:rsidTr="00324A26">
        <w:tc>
          <w:tcPr>
            <w:tcW w:w="562" w:type="dxa"/>
            <w:shd w:val="clear" w:color="auto" w:fill="E7E6E6" w:themeFill="background2"/>
          </w:tcPr>
          <w:p w14:paraId="5ADCC0F8" w14:textId="77777777" w:rsidR="0036588E" w:rsidRPr="00E93010" w:rsidRDefault="0036588E" w:rsidP="00324A26">
            <w:pPr>
              <w:rPr>
                <w:rFonts w:ascii="Georgia" w:hAnsi="Georgia"/>
                <w:sz w:val="16"/>
                <w:szCs w:val="16"/>
              </w:rPr>
            </w:pPr>
          </w:p>
        </w:tc>
        <w:tc>
          <w:tcPr>
            <w:tcW w:w="3544" w:type="dxa"/>
            <w:shd w:val="clear" w:color="auto" w:fill="E7E6E6" w:themeFill="background2"/>
          </w:tcPr>
          <w:p w14:paraId="61E3BF23" w14:textId="77777777" w:rsidR="0036588E" w:rsidRPr="00F17FD2" w:rsidRDefault="0036588E" w:rsidP="00324A26">
            <w:pPr>
              <w:spacing w:before="71"/>
              <w:ind w:left="101"/>
              <w:rPr>
                <w:rFonts w:ascii="Georgia" w:hAnsi="Georgia"/>
                <w:b/>
                <w:bCs/>
                <w:i/>
                <w:sz w:val="16"/>
                <w:szCs w:val="16"/>
              </w:rPr>
            </w:pPr>
            <w:r>
              <w:rPr>
                <w:rFonts w:ascii="Georgia" w:hAnsi="Georgia"/>
                <w:b/>
                <w:bCs/>
                <w:i/>
                <w:sz w:val="16"/>
                <w:szCs w:val="16"/>
              </w:rPr>
              <w:t>Bilag 3</w:t>
            </w:r>
          </w:p>
          <w:p w14:paraId="792881C5" w14:textId="77777777" w:rsidR="0036588E" w:rsidRPr="00E93010" w:rsidRDefault="0036588E" w:rsidP="00324A26">
            <w:pPr>
              <w:spacing w:before="71"/>
              <w:ind w:left="101"/>
              <w:rPr>
                <w:rFonts w:ascii="Georgia" w:hAnsi="Georgia"/>
                <w:i/>
                <w:sz w:val="16"/>
                <w:szCs w:val="16"/>
              </w:rPr>
            </w:pPr>
            <w:r w:rsidRPr="00E93010">
              <w:rPr>
                <w:rFonts w:ascii="Georgia" w:hAnsi="Georgia"/>
                <w:i/>
                <w:sz w:val="16"/>
                <w:szCs w:val="16"/>
              </w:rPr>
              <w:t>Tabel 8 - Emissionsfaktorer for el, fjernvarme og ledningsgas</w:t>
            </w:r>
          </w:p>
          <w:p w14:paraId="22075D87" w14:textId="77777777" w:rsidR="0036588E" w:rsidRPr="00E93010" w:rsidRDefault="0036588E" w:rsidP="00324A26">
            <w:pPr>
              <w:pStyle w:val="Brdtekst"/>
              <w:spacing w:before="7"/>
              <w:rPr>
                <w:i/>
                <w:sz w:val="16"/>
                <w:szCs w:val="16"/>
                <w:lang w:val="da-DK"/>
              </w:rPr>
            </w:pPr>
          </w:p>
          <w:p w14:paraId="0F9BBA5F" w14:textId="77777777" w:rsidR="0036588E" w:rsidRPr="00E93010" w:rsidRDefault="0036588E" w:rsidP="00324A26">
            <w:pPr>
              <w:pStyle w:val="Brdtekst"/>
              <w:ind w:left="101"/>
              <w:rPr>
                <w:sz w:val="16"/>
                <w:szCs w:val="16"/>
                <w:lang w:val="da-DK"/>
              </w:rPr>
            </w:pPr>
            <w:r w:rsidRPr="00E93010">
              <w:rPr>
                <w:sz w:val="16"/>
                <w:szCs w:val="16"/>
                <w:lang w:val="da-DK"/>
              </w:rPr>
              <w:t>Datapunkterne mellem de angivne værdier beregnes med lineær interpolation.</w:t>
            </w:r>
          </w:p>
          <w:tbl>
            <w:tblPr>
              <w:tblStyle w:val="TableNormal"/>
              <w:tblW w:w="4814"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275"/>
              <w:gridCol w:w="2761"/>
            </w:tblGrid>
            <w:tr w:rsidR="0036588E" w:rsidRPr="00E93010" w14:paraId="69C491DF" w14:textId="77777777" w:rsidTr="00324A26">
              <w:trPr>
                <w:trHeight w:hRule="exact" w:val="1056"/>
              </w:trPr>
              <w:tc>
                <w:tcPr>
                  <w:tcW w:w="778" w:type="dxa"/>
                  <w:vMerge w:val="restart"/>
                </w:tcPr>
                <w:p w14:paraId="64497612" w14:textId="77777777" w:rsidR="0036588E" w:rsidRPr="00E93010" w:rsidRDefault="0036588E" w:rsidP="00324A26">
                  <w:pPr>
                    <w:pStyle w:val="TableParagraph"/>
                    <w:rPr>
                      <w:sz w:val="16"/>
                      <w:szCs w:val="16"/>
                    </w:rPr>
                  </w:pPr>
                  <w:proofErr w:type="spellStart"/>
                  <w:r w:rsidRPr="00E93010">
                    <w:rPr>
                      <w:sz w:val="16"/>
                      <w:szCs w:val="16"/>
                    </w:rPr>
                    <w:t>År</w:t>
                  </w:r>
                  <w:proofErr w:type="spellEnd"/>
                </w:p>
              </w:tc>
              <w:tc>
                <w:tcPr>
                  <w:tcW w:w="1275" w:type="dxa"/>
                  <w:vMerge w:val="restart"/>
                </w:tcPr>
                <w:p w14:paraId="71438D24" w14:textId="77777777" w:rsidR="0036588E" w:rsidRPr="00E93010" w:rsidRDefault="0036588E" w:rsidP="00324A26">
                  <w:pPr>
                    <w:pStyle w:val="TableParagraph"/>
                    <w:spacing w:before="73"/>
                    <w:rPr>
                      <w:sz w:val="16"/>
                      <w:szCs w:val="16"/>
                    </w:rPr>
                  </w:pPr>
                  <w:proofErr w:type="spellStart"/>
                  <w:r w:rsidRPr="00E93010">
                    <w:rPr>
                      <w:sz w:val="16"/>
                      <w:szCs w:val="16"/>
                    </w:rPr>
                    <w:t>Energiform</w:t>
                  </w:r>
                  <w:proofErr w:type="spellEnd"/>
                </w:p>
              </w:tc>
              <w:tc>
                <w:tcPr>
                  <w:tcW w:w="2761" w:type="dxa"/>
                </w:tcPr>
                <w:p w14:paraId="478AA0E7" w14:textId="77777777" w:rsidR="0036588E" w:rsidRPr="00E93010" w:rsidRDefault="0036588E" w:rsidP="00324A26">
                  <w:pPr>
                    <w:pStyle w:val="TableParagraph"/>
                    <w:spacing w:before="1"/>
                    <w:ind w:left="0"/>
                    <w:rPr>
                      <w:sz w:val="16"/>
                      <w:szCs w:val="16"/>
                    </w:rPr>
                  </w:pPr>
                </w:p>
                <w:p w14:paraId="2C4B9D74" w14:textId="77777777" w:rsidR="0036588E" w:rsidRPr="00E93010" w:rsidRDefault="0036588E" w:rsidP="00324A26">
                  <w:pPr>
                    <w:pStyle w:val="TableParagraph"/>
                    <w:spacing w:before="1"/>
                    <w:rPr>
                      <w:i/>
                      <w:sz w:val="16"/>
                      <w:szCs w:val="16"/>
                    </w:rPr>
                  </w:pPr>
                  <w:bookmarkStart w:id="1" w:name="Emissionsfaktorer"/>
                  <w:bookmarkEnd w:id="1"/>
                  <w:proofErr w:type="spellStart"/>
                  <w:r w:rsidRPr="00E93010">
                    <w:rPr>
                      <w:i/>
                      <w:sz w:val="16"/>
                      <w:szCs w:val="16"/>
                    </w:rPr>
                    <w:t>Emissionsfaktorer</w:t>
                  </w:r>
                  <w:proofErr w:type="spellEnd"/>
                </w:p>
                <w:p w14:paraId="6BE43551" w14:textId="77777777" w:rsidR="0036588E" w:rsidRPr="00E93010" w:rsidRDefault="0036588E" w:rsidP="00324A26">
                  <w:pPr>
                    <w:pStyle w:val="TableParagraph"/>
                    <w:ind w:left="0"/>
                    <w:rPr>
                      <w:sz w:val="16"/>
                      <w:szCs w:val="16"/>
                    </w:rPr>
                  </w:pPr>
                </w:p>
                <w:p w14:paraId="2CDE5DE3" w14:textId="77777777" w:rsidR="0036588E" w:rsidRPr="00E93010" w:rsidRDefault="0036588E" w:rsidP="00324A26">
                  <w:pPr>
                    <w:pStyle w:val="TableParagraph"/>
                    <w:spacing w:before="125"/>
                    <w:rPr>
                      <w:sz w:val="16"/>
                      <w:szCs w:val="16"/>
                    </w:rPr>
                  </w:pPr>
                  <w:r w:rsidRPr="00E93010">
                    <w:rPr>
                      <w:sz w:val="16"/>
                      <w:szCs w:val="16"/>
                    </w:rPr>
                    <w:t>(GWP)</w:t>
                  </w:r>
                </w:p>
              </w:tc>
            </w:tr>
            <w:tr w:rsidR="0036588E" w:rsidRPr="00E93010" w14:paraId="1240ABD9" w14:textId="77777777" w:rsidTr="00324A26">
              <w:trPr>
                <w:trHeight w:hRule="exact" w:val="324"/>
              </w:trPr>
              <w:tc>
                <w:tcPr>
                  <w:tcW w:w="778" w:type="dxa"/>
                  <w:vMerge/>
                  <w:tcBorders>
                    <w:bottom w:val="double" w:sz="5" w:space="0" w:color="000000"/>
                  </w:tcBorders>
                </w:tcPr>
                <w:p w14:paraId="351D11FF" w14:textId="77777777" w:rsidR="0036588E" w:rsidRPr="00E93010" w:rsidRDefault="0036588E" w:rsidP="00324A26">
                  <w:pPr>
                    <w:rPr>
                      <w:rFonts w:ascii="Georgia" w:hAnsi="Georgia"/>
                      <w:sz w:val="16"/>
                      <w:szCs w:val="16"/>
                    </w:rPr>
                  </w:pPr>
                </w:p>
              </w:tc>
              <w:tc>
                <w:tcPr>
                  <w:tcW w:w="1275" w:type="dxa"/>
                  <w:vMerge/>
                </w:tcPr>
                <w:p w14:paraId="37483263" w14:textId="77777777" w:rsidR="0036588E" w:rsidRPr="00E93010" w:rsidRDefault="0036588E" w:rsidP="00324A26">
                  <w:pPr>
                    <w:rPr>
                      <w:rFonts w:ascii="Georgia" w:hAnsi="Georgia"/>
                      <w:sz w:val="16"/>
                      <w:szCs w:val="16"/>
                    </w:rPr>
                  </w:pPr>
                </w:p>
              </w:tc>
              <w:tc>
                <w:tcPr>
                  <w:tcW w:w="2761" w:type="dxa"/>
                </w:tcPr>
                <w:p w14:paraId="67C1D621" w14:textId="77777777" w:rsidR="0036588E" w:rsidRPr="00E93010" w:rsidRDefault="0036588E" w:rsidP="00324A26">
                  <w:pPr>
                    <w:pStyle w:val="TableParagraph"/>
                    <w:spacing w:before="73"/>
                    <w:rPr>
                      <w:sz w:val="16"/>
                      <w:szCs w:val="16"/>
                    </w:rPr>
                  </w:pPr>
                  <w:r w:rsidRPr="00E93010">
                    <w:rPr>
                      <w:sz w:val="16"/>
                      <w:szCs w:val="16"/>
                    </w:rPr>
                    <w:t xml:space="preserve">kg </w:t>
                  </w:r>
                  <w:proofErr w:type="spellStart"/>
                  <w:r w:rsidRPr="00E93010">
                    <w:rPr>
                      <w:sz w:val="16"/>
                      <w:szCs w:val="16"/>
                    </w:rPr>
                    <w:t>CO2eq</w:t>
                  </w:r>
                  <w:proofErr w:type="spellEnd"/>
                  <w:r w:rsidRPr="00E93010">
                    <w:rPr>
                      <w:sz w:val="16"/>
                      <w:szCs w:val="16"/>
                    </w:rPr>
                    <w:t>/kWh</w:t>
                  </w:r>
                </w:p>
              </w:tc>
            </w:tr>
            <w:tr w:rsidR="0036588E" w:rsidRPr="00E93010" w14:paraId="4437124D" w14:textId="77777777" w:rsidTr="00324A26">
              <w:trPr>
                <w:trHeight w:hRule="exact" w:val="324"/>
              </w:trPr>
              <w:tc>
                <w:tcPr>
                  <w:tcW w:w="778" w:type="dxa"/>
                  <w:vMerge w:val="restart"/>
                  <w:tcBorders>
                    <w:top w:val="double" w:sz="5" w:space="0" w:color="000000"/>
                  </w:tcBorders>
                </w:tcPr>
                <w:p w14:paraId="560D60F9" w14:textId="77777777" w:rsidR="0036588E" w:rsidRPr="00E93010" w:rsidRDefault="0036588E" w:rsidP="00324A26">
                  <w:pPr>
                    <w:pStyle w:val="TableParagraph"/>
                    <w:spacing w:before="73"/>
                    <w:rPr>
                      <w:sz w:val="16"/>
                      <w:szCs w:val="16"/>
                    </w:rPr>
                  </w:pPr>
                  <w:r w:rsidRPr="00E93010">
                    <w:rPr>
                      <w:sz w:val="16"/>
                      <w:szCs w:val="16"/>
                    </w:rPr>
                    <w:t>2023</w:t>
                  </w:r>
                </w:p>
              </w:tc>
              <w:tc>
                <w:tcPr>
                  <w:tcW w:w="1275" w:type="dxa"/>
                </w:tcPr>
                <w:p w14:paraId="5A4E12B0" w14:textId="77777777" w:rsidR="0036588E" w:rsidRPr="00E93010" w:rsidRDefault="0036588E" w:rsidP="00324A26">
                  <w:pPr>
                    <w:pStyle w:val="TableParagraph"/>
                    <w:spacing w:before="88"/>
                    <w:rPr>
                      <w:sz w:val="16"/>
                      <w:szCs w:val="16"/>
                    </w:rPr>
                  </w:pPr>
                  <w:r w:rsidRPr="00E93010">
                    <w:rPr>
                      <w:sz w:val="16"/>
                      <w:szCs w:val="16"/>
                    </w:rPr>
                    <w:t>El</w:t>
                  </w:r>
                </w:p>
              </w:tc>
              <w:tc>
                <w:tcPr>
                  <w:tcW w:w="2761" w:type="dxa"/>
                </w:tcPr>
                <w:p w14:paraId="002FC8CD" w14:textId="77777777" w:rsidR="0036588E" w:rsidRPr="00E93010" w:rsidRDefault="0036588E" w:rsidP="00324A26">
                  <w:pPr>
                    <w:pStyle w:val="TableParagraph"/>
                    <w:spacing w:before="88"/>
                    <w:rPr>
                      <w:sz w:val="16"/>
                      <w:szCs w:val="16"/>
                    </w:rPr>
                  </w:pPr>
                  <w:proofErr w:type="spellStart"/>
                  <w:r w:rsidRPr="00E93010">
                    <w:rPr>
                      <w:sz w:val="16"/>
                      <w:szCs w:val="16"/>
                    </w:rPr>
                    <w:t>1,87E</w:t>
                  </w:r>
                  <w:proofErr w:type="spellEnd"/>
                  <w:r w:rsidRPr="00E93010">
                    <w:rPr>
                      <w:sz w:val="16"/>
                      <w:szCs w:val="16"/>
                    </w:rPr>
                    <w:t>-01</w:t>
                  </w:r>
                </w:p>
              </w:tc>
            </w:tr>
            <w:tr w:rsidR="0036588E" w:rsidRPr="00E93010" w14:paraId="5D2F45F9" w14:textId="77777777" w:rsidTr="00324A26">
              <w:trPr>
                <w:trHeight w:hRule="exact" w:val="312"/>
              </w:trPr>
              <w:tc>
                <w:tcPr>
                  <w:tcW w:w="778" w:type="dxa"/>
                  <w:vMerge/>
                </w:tcPr>
                <w:p w14:paraId="0FC5E5CD" w14:textId="77777777" w:rsidR="0036588E" w:rsidRPr="00E93010" w:rsidRDefault="0036588E" w:rsidP="00324A26">
                  <w:pPr>
                    <w:rPr>
                      <w:rFonts w:ascii="Georgia" w:hAnsi="Georgia"/>
                      <w:sz w:val="16"/>
                      <w:szCs w:val="16"/>
                    </w:rPr>
                  </w:pPr>
                </w:p>
              </w:tc>
              <w:tc>
                <w:tcPr>
                  <w:tcW w:w="1275" w:type="dxa"/>
                </w:tcPr>
                <w:p w14:paraId="360D9276" w14:textId="77777777" w:rsidR="0036588E" w:rsidRPr="00E93010" w:rsidRDefault="0036588E" w:rsidP="00324A26">
                  <w:pPr>
                    <w:pStyle w:val="TableParagraph"/>
                    <w:spacing w:before="76"/>
                    <w:rPr>
                      <w:sz w:val="16"/>
                      <w:szCs w:val="16"/>
                    </w:rPr>
                  </w:pPr>
                  <w:r w:rsidRPr="00E93010">
                    <w:rPr>
                      <w:sz w:val="16"/>
                      <w:szCs w:val="16"/>
                    </w:rPr>
                    <w:t>Fjernvarme</w:t>
                  </w:r>
                </w:p>
              </w:tc>
              <w:tc>
                <w:tcPr>
                  <w:tcW w:w="2761" w:type="dxa"/>
                </w:tcPr>
                <w:p w14:paraId="41B87A0E" w14:textId="77777777" w:rsidR="0036588E" w:rsidRPr="00E93010" w:rsidRDefault="0036588E" w:rsidP="00324A26">
                  <w:pPr>
                    <w:pStyle w:val="TableParagraph"/>
                    <w:spacing w:before="76"/>
                    <w:rPr>
                      <w:sz w:val="16"/>
                      <w:szCs w:val="16"/>
                    </w:rPr>
                  </w:pPr>
                  <w:proofErr w:type="spellStart"/>
                  <w:r w:rsidRPr="00E93010">
                    <w:rPr>
                      <w:sz w:val="16"/>
                      <w:szCs w:val="16"/>
                    </w:rPr>
                    <w:t>1,05E</w:t>
                  </w:r>
                  <w:proofErr w:type="spellEnd"/>
                  <w:r w:rsidRPr="00E93010">
                    <w:rPr>
                      <w:sz w:val="16"/>
                      <w:szCs w:val="16"/>
                    </w:rPr>
                    <w:t>-01</w:t>
                  </w:r>
                </w:p>
              </w:tc>
            </w:tr>
            <w:tr w:rsidR="0036588E" w:rsidRPr="00E93010" w14:paraId="6195964C" w14:textId="77777777" w:rsidTr="00324A26">
              <w:trPr>
                <w:trHeight w:hRule="exact" w:val="310"/>
              </w:trPr>
              <w:tc>
                <w:tcPr>
                  <w:tcW w:w="778" w:type="dxa"/>
                  <w:vMerge/>
                </w:tcPr>
                <w:p w14:paraId="799C47F5" w14:textId="77777777" w:rsidR="0036588E" w:rsidRPr="00E93010" w:rsidRDefault="0036588E" w:rsidP="00324A26">
                  <w:pPr>
                    <w:rPr>
                      <w:rFonts w:ascii="Georgia" w:hAnsi="Georgia"/>
                      <w:sz w:val="16"/>
                      <w:szCs w:val="16"/>
                    </w:rPr>
                  </w:pPr>
                </w:p>
              </w:tc>
              <w:tc>
                <w:tcPr>
                  <w:tcW w:w="1275" w:type="dxa"/>
                </w:tcPr>
                <w:p w14:paraId="7B816E6C" w14:textId="77777777" w:rsidR="0036588E" w:rsidRPr="00E93010" w:rsidRDefault="0036588E" w:rsidP="00324A26">
                  <w:pPr>
                    <w:pStyle w:val="TableParagraph"/>
                    <w:spacing w:before="73"/>
                    <w:rPr>
                      <w:sz w:val="16"/>
                      <w:szCs w:val="16"/>
                    </w:rPr>
                  </w:pPr>
                  <w:proofErr w:type="spellStart"/>
                  <w:r w:rsidRPr="00E93010">
                    <w:rPr>
                      <w:sz w:val="16"/>
                      <w:szCs w:val="16"/>
                    </w:rPr>
                    <w:t>Ledningsgas</w:t>
                  </w:r>
                  <w:proofErr w:type="spellEnd"/>
                </w:p>
              </w:tc>
              <w:tc>
                <w:tcPr>
                  <w:tcW w:w="2761" w:type="dxa"/>
                </w:tcPr>
                <w:p w14:paraId="2F761F25" w14:textId="77777777" w:rsidR="0036588E" w:rsidRPr="00E93010" w:rsidRDefault="0036588E" w:rsidP="00324A26">
                  <w:pPr>
                    <w:pStyle w:val="TableParagraph"/>
                    <w:spacing w:before="73"/>
                    <w:rPr>
                      <w:sz w:val="16"/>
                      <w:szCs w:val="16"/>
                    </w:rPr>
                  </w:pPr>
                  <w:proofErr w:type="spellStart"/>
                  <w:r w:rsidRPr="00E93010">
                    <w:rPr>
                      <w:sz w:val="16"/>
                      <w:szCs w:val="16"/>
                    </w:rPr>
                    <w:t>2,25E</w:t>
                  </w:r>
                  <w:proofErr w:type="spellEnd"/>
                  <w:r w:rsidRPr="00E93010">
                    <w:rPr>
                      <w:sz w:val="16"/>
                      <w:szCs w:val="16"/>
                    </w:rPr>
                    <w:t>-01</w:t>
                  </w:r>
                </w:p>
              </w:tc>
            </w:tr>
            <w:tr w:rsidR="0036588E" w:rsidRPr="00E93010" w14:paraId="386DC0EC" w14:textId="77777777" w:rsidTr="00324A26">
              <w:trPr>
                <w:trHeight w:hRule="exact" w:val="310"/>
              </w:trPr>
              <w:tc>
                <w:tcPr>
                  <w:tcW w:w="778" w:type="dxa"/>
                  <w:vMerge w:val="restart"/>
                </w:tcPr>
                <w:p w14:paraId="42B3C2DE" w14:textId="77777777" w:rsidR="0036588E" w:rsidRPr="00E93010" w:rsidRDefault="0036588E" w:rsidP="00324A26">
                  <w:pPr>
                    <w:pStyle w:val="TableParagraph"/>
                    <w:spacing w:before="73"/>
                    <w:rPr>
                      <w:sz w:val="16"/>
                      <w:szCs w:val="16"/>
                    </w:rPr>
                  </w:pPr>
                  <w:r w:rsidRPr="00E93010">
                    <w:rPr>
                      <w:sz w:val="16"/>
                      <w:szCs w:val="16"/>
                    </w:rPr>
                    <w:t>2025</w:t>
                  </w:r>
                </w:p>
              </w:tc>
              <w:tc>
                <w:tcPr>
                  <w:tcW w:w="1275" w:type="dxa"/>
                </w:tcPr>
                <w:p w14:paraId="05478FA6" w14:textId="77777777" w:rsidR="0036588E" w:rsidRPr="00E93010" w:rsidRDefault="0036588E" w:rsidP="00324A26">
                  <w:pPr>
                    <w:pStyle w:val="TableParagraph"/>
                    <w:spacing w:before="73"/>
                    <w:rPr>
                      <w:sz w:val="16"/>
                      <w:szCs w:val="16"/>
                    </w:rPr>
                  </w:pPr>
                  <w:r w:rsidRPr="00E93010">
                    <w:rPr>
                      <w:sz w:val="16"/>
                      <w:szCs w:val="16"/>
                    </w:rPr>
                    <w:t>El</w:t>
                  </w:r>
                </w:p>
              </w:tc>
              <w:tc>
                <w:tcPr>
                  <w:tcW w:w="2761" w:type="dxa"/>
                </w:tcPr>
                <w:p w14:paraId="255E9458" w14:textId="77777777" w:rsidR="0036588E" w:rsidRPr="00E93010" w:rsidRDefault="0036588E" w:rsidP="00324A26">
                  <w:pPr>
                    <w:pStyle w:val="TableParagraph"/>
                    <w:spacing w:before="73"/>
                    <w:rPr>
                      <w:sz w:val="16"/>
                      <w:szCs w:val="16"/>
                    </w:rPr>
                  </w:pPr>
                  <w:proofErr w:type="spellStart"/>
                  <w:r w:rsidRPr="00E93010">
                    <w:rPr>
                      <w:sz w:val="16"/>
                      <w:szCs w:val="16"/>
                    </w:rPr>
                    <w:t>1,35E</w:t>
                  </w:r>
                  <w:proofErr w:type="spellEnd"/>
                  <w:r w:rsidRPr="00E93010">
                    <w:rPr>
                      <w:sz w:val="16"/>
                      <w:szCs w:val="16"/>
                    </w:rPr>
                    <w:t>-01</w:t>
                  </w:r>
                </w:p>
              </w:tc>
            </w:tr>
            <w:tr w:rsidR="0036588E" w:rsidRPr="00E93010" w14:paraId="7516EA39" w14:textId="77777777" w:rsidTr="00324A26">
              <w:trPr>
                <w:trHeight w:hRule="exact" w:val="310"/>
              </w:trPr>
              <w:tc>
                <w:tcPr>
                  <w:tcW w:w="778" w:type="dxa"/>
                  <w:vMerge/>
                </w:tcPr>
                <w:p w14:paraId="658EE61D" w14:textId="77777777" w:rsidR="0036588E" w:rsidRPr="00E93010" w:rsidRDefault="0036588E" w:rsidP="00324A26">
                  <w:pPr>
                    <w:rPr>
                      <w:rFonts w:ascii="Georgia" w:hAnsi="Georgia"/>
                      <w:sz w:val="16"/>
                      <w:szCs w:val="16"/>
                    </w:rPr>
                  </w:pPr>
                </w:p>
              </w:tc>
              <w:tc>
                <w:tcPr>
                  <w:tcW w:w="1275" w:type="dxa"/>
                </w:tcPr>
                <w:p w14:paraId="361ED235" w14:textId="77777777" w:rsidR="0036588E" w:rsidRPr="00E93010" w:rsidRDefault="0036588E" w:rsidP="00324A26">
                  <w:pPr>
                    <w:pStyle w:val="TableParagraph"/>
                    <w:spacing w:before="73"/>
                    <w:rPr>
                      <w:sz w:val="16"/>
                      <w:szCs w:val="16"/>
                    </w:rPr>
                  </w:pPr>
                  <w:r w:rsidRPr="00E93010">
                    <w:rPr>
                      <w:sz w:val="16"/>
                      <w:szCs w:val="16"/>
                    </w:rPr>
                    <w:t>Fjernvarme</w:t>
                  </w:r>
                </w:p>
              </w:tc>
              <w:tc>
                <w:tcPr>
                  <w:tcW w:w="2761" w:type="dxa"/>
                </w:tcPr>
                <w:p w14:paraId="577315C4" w14:textId="77777777" w:rsidR="0036588E" w:rsidRPr="00E93010" w:rsidRDefault="0036588E" w:rsidP="00324A26">
                  <w:pPr>
                    <w:pStyle w:val="TableParagraph"/>
                    <w:spacing w:before="73"/>
                    <w:rPr>
                      <w:sz w:val="16"/>
                      <w:szCs w:val="16"/>
                    </w:rPr>
                  </w:pPr>
                  <w:proofErr w:type="spellStart"/>
                  <w:r w:rsidRPr="00E93010">
                    <w:rPr>
                      <w:sz w:val="16"/>
                      <w:szCs w:val="16"/>
                    </w:rPr>
                    <w:t>8,78E</w:t>
                  </w:r>
                  <w:proofErr w:type="spellEnd"/>
                  <w:r w:rsidRPr="00E93010">
                    <w:rPr>
                      <w:sz w:val="16"/>
                      <w:szCs w:val="16"/>
                    </w:rPr>
                    <w:t>-02</w:t>
                  </w:r>
                </w:p>
              </w:tc>
            </w:tr>
            <w:tr w:rsidR="0036588E" w:rsidRPr="00E93010" w14:paraId="2CD94A2A" w14:textId="77777777" w:rsidTr="00324A26">
              <w:trPr>
                <w:trHeight w:hRule="exact" w:val="310"/>
              </w:trPr>
              <w:tc>
                <w:tcPr>
                  <w:tcW w:w="778" w:type="dxa"/>
                  <w:vMerge/>
                </w:tcPr>
                <w:p w14:paraId="0B248DBD" w14:textId="77777777" w:rsidR="0036588E" w:rsidRPr="00E93010" w:rsidRDefault="0036588E" w:rsidP="00324A26">
                  <w:pPr>
                    <w:rPr>
                      <w:rFonts w:ascii="Georgia" w:hAnsi="Georgia"/>
                      <w:sz w:val="16"/>
                      <w:szCs w:val="16"/>
                    </w:rPr>
                  </w:pPr>
                </w:p>
              </w:tc>
              <w:tc>
                <w:tcPr>
                  <w:tcW w:w="1275" w:type="dxa"/>
                </w:tcPr>
                <w:p w14:paraId="145E370C" w14:textId="77777777" w:rsidR="0036588E" w:rsidRPr="00E93010" w:rsidRDefault="0036588E" w:rsidP="00324A26">
                  <w:pPr>
                    <w:pStyle w:val="TableParagraph"/>
                    <w:spacing w:before="73"/>
                    <w:rPr>
                      <w:sz w:val="16"/>
                      <w:szCs w:val="16"/>
                    </w:rPr>
                  </w:pPr>
                  <w:proofErr w:type="spellStart"/>
                  <w:r w:rsidRPr="00E93010">
                    <w:rPr>
                      <w:sz w:val="16"/>
                      <w:szCs w:val="16"/>
                    </w:rPr>
                    <w:t>Naturgas</w:t>
                  </w:r>
                  <w:proofErr w:type="spellEnd"/>
                </w:p>
              </w:tc>
              <w:tc>
                <w:tcPr>
                  <w:tcW w:w="2761" w:type="dxa"/>
                </w:tcPr>
                <w:p w14:paraId="7D72815A" w14:textId="77777777" w:rsidR="0036588E" w:rsidRPr="00E93010" w:rsidRDefault="0036588E" w:rsidP="00324A26">
                  <w:pPr>
                    <w:pStyle w:val="TableParagraph"/>
                    <w:spacing w:before="73"/>
                    <w:rPr>
                      <w:sz w:val="16"/>
                      <w:szCs w:val="16"/>
                    </w:rPr>
                  </w:pPr>
                  <w:proofErr w:type="spellStart"/>
                  <w:r w:rsidRPr="00E93010">
                    <w:rPr>
                      <w:sz w:val="16"/>
                      <w:szCs w:val="16"/>
                    </w:rPr>
                    <w:t>1,89E</w:t>
                  </w:r>
                  <w:proofErr w:type="spellEnd"/>
                  <w:r w:rsidRPr="00E93010">
                    <w:rPr>
                      <w:sz w:val="16"/>
                      <w:szCs w:val="16"/>
                    </w:rPr>
                    <w:t>-01</w:t>
                  </w:r>
                </w:p>
              </w:tc>
            </w:tr>
            <w:tr w:rsidR="0036588E" w:rsidRPr="00E93010" w14:paraId="040DE230" w14:textId="77777777" w:rsidTr="00324A26">
              <w:trPr>
                <w:trHeight w:hRule="exact" w:val="310"/>
              </w:trPr>
              <w:tc>
                <w:tcPr>
                  <w:tcW w:w="778" w:type="dxa"/>
                  <w:vMerge w:val="restart"/>
                </w:tcPr>
                <w:p w14:paraId="26FEF976" w14:textId="77777777" w:rsidR="0036588E" w:rsidRPr="00E93010" w:rsidRDefault="0036588E" w:rsidP="00324A26">
                  <w:pPr>
                    <w:pStyle w:val="TableParagraph"/>
                    <w:spacing w:before="73"/>
                    <w:rPr>
                      <w:sz w:val="16"/>
                      <w:szCs w:val="16"/>
                    </w:rPr>
                  </w:pPr>
                  <w:r w:rsidRPr="00E93010">
                    <w:rPr>
                      <w:sz w:val="16"/>
                      <w:szCs w:val="16"/>
                    </w:rPr>
                    <w:t>2030</w:t>
                  </w:r>
                </w:p>
              </w:tc>
              <w:tc>
                <w:tcPr>
                  <w:tcW w:w="1275" w:type="dxa"/>
                </w:tcPr>
                <w:p w14:paraId="1EB4F34B" w14:textId="77777777" w:rsidR="0036588E" w:rsidRPr="00E93010" w:rsidRDefault="0036588E" w:rsidP="00324A26">
                  <w:pPr>
                    <w:pStyle w:val="TableParagraph"/>
                    <w:spacing w:before="73"/>
                    <w:rPr>
                      <w:sz w:val="16"/>
                      <w:szCs w:val="16"/>
                    </w:rPr>
                  </w:pPr>
                  <w:r w:rsidRPr="00E93010">
                    <w:rPr>
                      <w:sz w:val="16"/>
                      <w:szCs w:val="16"/>
                    </w:rPr>
                    <w:t>El</w:t>
                  </w:r>
                </w:p>
              </w:tc>
              <w:tc>
                <w:tcPr>
                  <w:tcW w:w="2761" w:type="dxa"/>
                </w:tcPr>
                <w:p w14:paraId="1EE64C68" w14:textId="77777777" w:rsidR="0036588E" w:rsidRPr="00E93010" w:rsidRDefault="0036588E" w:rsidP="00324A26">
                  <w:pPr>
                    <w:pStyle w:val="TableParagraph"/>
                    <w:spacing w:before="73"/>
                    <w:rPr>
                      <w:sz w:val="16"/>
                      <w:szCs w:val="16"/>
                    </w:rPr>
                  </w:pPr>
                  <w:proofErr w:type="spellStart"/>
                  <w:r w:rsidRPr="00E93010">
                    <w:rPr>
                      <w:sz w:val="16"/>
                      <w:szCs w:val="16"/>
                    </w:rPr>
                    <w:t>4,70E</w:t>
                  </w:r>
                  <w:proofErr w:type="spellEnd"/>
                  <w:r w:rsidRPr="00E93010">
                    <w:rPr>
                      <w:sz w:val="16"/>
                      <w:szCs w:val="16"/>
                    </w:rPr>
                    <w:t>-02</w:t>
                  </w:r>
                </w:p>
              </w:tc>
            </w:tr>
            <w:tr w:rsidR="0036588E" w:rsidRPr="00E93010" w14:paraId="70678986" w14:textId="77777777" w:rsidTr="00324A26">
              <w:trPr>
                <w:trHeight w:hRule="exact" w:val="312"/>
              </w:trPr>
              <w:tc>
                <w:tcPr>
                  <w:tcW w:w="778" w:type="dxa"/>
                  <w:vMerge/>
                </w:tcPr>
                <w:p w14:paraId="23AB0BF4" w14:textId="77777777" w:rsidR="0036588E" w:rsidRPr="00E93010" w:rsidRDefault="0036588E" w:rsidP="00324A26">
                  <w:pPr>
                    <w:rPr>
                      <w:rFonts w:ascii="Georgia" w:hAnsi="Georgia"/>
                      <w:sz w:val="16"/>
                      <w:szCs w:val="16"/>
                    </w:rPr>
                  </w:pPr>
                </w:p>
              </w:tc>
              <w:tc>
                <w:tcPr>
                  <w:tcW w:w="1275" w:type="dxa"/>
                </w:tcPr>
                <w:p w14:paraId="73F6522D" w14:textId="77777777" w:rsidR="0036588E" w:rsidRPr="00E93010" w:rsidRDefault="0036588E" w:rsidP="00324A26">
                  <w:pPr>
                    <w:pStyle w:val="TableParagraph"/>
                    <w:spacing w:before="76"/>
                    <w:rPr>
                      <w:sz w:val="16"/>
                      <w:szCs w:val="16"/>
                    </w:rPr>
                  </w:pPr>
                  <w:r w:rsidRPr="00E93010">
                    <w:rPr>
                      <w:sz w:val="16"/>
                      <w:szCs w:val="16"/>
                    </w:rPr>
                    <w:t>Fjernvarme</w:t>
                  </w:r>
                </w:p>
              </w:tc>
              <w:tc>
                <w:tcPr>
                  <w:tcW w:w="2761" w:type="dxa"/>
                </w:tcPr>
                <w:p w14:paraId="4BBB6D93" w14:textId="77777777" w:rsidR="0036588E" w:rsidRPr="00E93010" w:rsidRDefault="0036588E" w:rsidP="00324A26">
                  <w:pPr>
                    <w:pStyle w:val="TableParagraph"/>
                    <w:spacing w:before="76"/>
                    <w:rPr>
                      <w:sz w:val="16"/>
                      <w:szCs w:val="16"/>
                    </w:rPr>
                  </w:pPr>
                  <w:proofErr w:type="spellStart"/>
                  <w:r w:rsidRPr="00E93010">
                    <w:rPr>
                      <w:sz w:val="16"/>
                      <w:szCs w:val="16"/>
                    </w:rPr>
                    <w:t>7,13E</w:t>
                  </w:r>
                  <w:proofErr w:type="spellEnd"/>
                  <w:r w:rsidRPr="00E93010">
                    <w:rPr>
                      <w:sz w:val="16"/>
                      <w:szCs w:val="16"/>
                    </w:rPr>
                    <w:t>-02</w:t>
                  </w:r>
                </w:p>
              </w:tc>
            </w:tr>
            <w:tr w:rsidR="0036588E" w:rsidRPr="00E93010" w14:paraId="6276805F" w14:textId="77777777" w:rsidTr="00324A26">
              <w:trPr>
                <w:trHeight w:hRule="exact" w:val="310"/>
              </w:trPr>
              <w:tc>
                <w:tcPr>
                  <w:tcW w:w="778" w:type="dxa"/>
                  <w:vMerge/>
                </w:tcPr>
                <w:p w14:paraId="4F13D3D0" w14:textId="77777777" w:rsidR="0036588E" w:rsidRPr="00E93010" w:rsidRDefault="0036588E" w:rsidP="00324A26">
                  <w:pPr>
                    <w:rPr>
                      <w:rFonts w:ascii="Georgia" w:hAnsi="Georgia"/>
                      <w:sz w:val="16"/>
                      <w:szCs w:val="16"/>
                    </w:rPr>
                  </w:pPr>
                </w:p>
              </w:tc>
              <w:tc>
                <w:tcPr>
                  <w:tcW w:w="1275" w:type="dxa"/>
                </w:tcPr>
                <w:p w14:paraId="46B1AF66" w14:textId="77777777" w:rsidR="0036588E" w:rsidRPr="00E93010" w:rsidRDefault="0036588E" w:rsidP="00324A26">
                  <w:pPr>
                    <w:pStyle w:val="TableParagraph"/>
                    <w:spacing w:before="73"/>
                    <w:rPr>
                      <w:sz w:val="16"/>
                      <w:szCs w:val="16"/>
                    </w:rPr>
                  </w:pPr>
                  <w:proofErr w:type="spellStart"/>
                  <w:r w:rsidRPr="00E93010">
                    <w:rPr>
                      <w:sz w:val="16"/>
                      <w:szCs w:val="16"/>
                    </w:rPr>
                    <w:t>Naturgas</w:t>
                  </w:r>
                  <w:proofErr w:type="spellEnd"/>
                </w:p>
              </w:tc>
              <w:tc>
                <w:tcPr>
                  <w:tcW w:w="2761" w:type="dxa"/>
                </w:tcPr>
                <w:p w14:paraId="29A2B7EB" w14:textId="77777777" w:rsidR="0036588E" w:rsidRPr="00E93010" w:rsidRDefault="0036588E" w:rsidP="00324A26">
                  <w:pPr>
                    <w:pStyle w:val="TableParagraph"/>
                    <w:spacing w:before="73"/>
                    <w:rPr>
                      <w:sz w:val="16"/>
                      <w:szCs w:val="16"/>
                    </w:rPr>
                  </w:pPr>
                  <w:proofErr w:type="spellStart"/>
                  <w:r w:rsidRPr="00E93010">
                    <w:rPr>
                      <w:sz w:val="16"/>
                      <w:szCs w:val="16"/>
                    </w:rPr>
                    <w:t>1,05E</w:t>
                  </w:r>
                  <w:proofErr w:type="spellEnd"/>
                  <w:r w:rsidRPr="00E93010">
                    <w:rPr>
                      <w:sz w:val="16"/>
                      <w:szCs w:val="16"/>
                    </w:rPr>
                    <w:t>-01</w:t>
                  </w:r>
                </w:p>
              </w:tc>
            </w:tr>
            <w:tr w:rsidR="0036588E" w:rsidRPr="00E93010" w14:paraId="5004745A" w14:textId="77777777" w:rsidTr="00324A26">
              <w:trPr>
                <w:trHeight w:hRule="exact" w:val="310"/>
              </w:trPr>
              <w:tc>
                <w:tcPr>
                  <w:tcW w:w="778" w:type="dxa"/>
                  <w:vMerge w:val="restart"/>
                </w:tcPr>
                <w:p w14:paraId="772799B8" w14:textId="77777777" w:rsidR="0036588E" w:rsidRPr="00E93010" w:rsidRDefault="0036588E" w:rsidP="00324A26">
                  <w:pPr>
                    <w:pStyle w:val="TableParagraph"/>
                    <w:spacing w:before="73"/>
                    <w:rPr>
                      <w:sz w:val="16"/>
                      <w:szCs w:val="16"/>
                    </w:rPr>
                  </w:pPr>
                  <w:r w:rsidRPr="00E93010">
                    <w:rPr>
                      <w:sz w:val="16"/>
                      <w:szCs w:val="16"/>
                    </w:rPr>
                    <w:t>2035</w:t>
                  </w:r>
                </w:p>
              </w:tc>
              <w:tc>
                <w:tcPr>
                  <w:tcW w:w="1275" w:type="dxa"/>
                </w:tcPr>
                <w:p w14:paraId="4541268C" w14:textId="77777777" w:rsidR="0036588E" w:rsidRPr="00E93010" w:rsidRDefault="0036588E" w:rsidP="00324A26">
                  <w:pPr>
                    <w:pStyle w:val="TableParagraph"/>
                    <w:spacing w:before="73"/>
                    <w:rPr>
                      <w:sz w:val="16"/>
                      <w:szCs w:val="16"/>
                    </w:rPr>
                  </w:pPr>
                  <w:r w:rsidRPr="00E93010">
                    <w:rPr>
                      <w:sz w:val="16"/>
                      <w:szCs w:val="16"/>
                    </w:rPr>
                    <w:t>El</w:t>
                  </w:r>
                </w:p>
              </w:tc>
              <w:tc>
                <w:tcPr>
                  <w:tcW w:w="2761" w:type="dxa"/>
                </w:tcPr>
                <w:p w14:paraId="6F70A8B1" w14:textId="77777777" w:rsidR="0036588E" w:rsidRPr="00E93010" w:rsidRDefault="0036588E" w:rsidP="00324A26">
                  <w:pPr>
                    <w:pStyle w:val="TableParagraph"/>
                    <w:spacing w:before="73"/>
                    <w:rPr>
                      <w:sz w:val="16"/>
                      <w:szCs w:val="16"/>
                    </w:rPr>
                  </w:pPr>
                  <w:proofErr w:type="spellStart"/>
                  <w:r w:rsidRPr="00E93010">
                    <w:rPr>
                      <w:sz w:val="16"/>
                      <w:szCs w:val="16"/>
                    </w:rPr>
                    <w:t>4,14E</w:t>
                  </w:r>
                  <w:proofErr w:type="spellEnd"/>
                  <w:r w:rsidRPr="00E93010">
                    <w:rPr>
                      <w:sz w:val="16"/>
                      <w:szCs w:val="16"/>
                    </w:rPr>
                    <w:t>-02</w:t>
                  </w:r>
                </w:p>
              </w:tc>
            </w:tr>
            <w:tr w:rsidR="0036588E" w:rsidRPr="00E93010" w14:paraId="6F5591A3" w14:textId="77777777" w:rsidTr="00324A26">
              <w:trPr>
                <w:trHeight w:hRule="exact" w:val="310"/>
              </w:trPr>
              <w:tc>
                <w:tcPr>
                  <w:tcW w:w="778" w:type="dxa"/>
                  <w:vMerge/>
                </w:tcPr>
                <w:p w14:paraId="55F089D2" w14:textId="77777777" w:rsidR="0036588E" w:rsidRPr="00E93010" w:rsidRDefault="0036588E" w:rsidP="00324A26">
                  <w:pPr>
                    <w:rPr>
                      <w:rFonts w:ascii="Georgia" w:hAnsi="Georgia"/>
                      <w:sz w:val="16"/>
                      <w:szCs w:val="16"/>
                    </w:rPr>
                  </w:pPr>
                </w:p>
              </w:tc>
              <w:tc>
                <w:tcPr>
                  <w:tcW w:w="1275" w:type="dxa"/>
                </w:tcPr>
                <w:p w14:paraId="07E41110" w14:textId="77777777" w:rsidR="0036588E" w:rsidRPr="00E93010" w:rsidRDefault="0036588E" w:rsidP="00324A26">
                  <w:pPr>
                    <w:pStyle w:val="TableParagraph"/>
                    <w:spacing w:before="73"/>
                    <w:rPr>
                      <w:sz w:val="16"/>
                      <w:szCs w:val="16"/>
                    </w:rPr>
                  </w:pPr>
                  <w:r w:rsidRPr="00E93010">
                    <w:rPr>
                      <w:sz w:val="16"/>
                      <w:szCs w:val="16"/>
                    </w:rPr>
                    <w:t>Fjernvarme</w:t>
                  </w:r>
                </w:p>
              </w:tc>
              <w:tc>
                <w:tcPr>
                  <w:tcW w:w="2761" w:type="dxa"/>
                </w:tcPr>
                <w:p w14:paraId="536F4922" w14:textId="77777777" w:rsidR="0036588E" w:rsidRPr="00E93010" w:rsidRDefault="0036588E" w:rsidP="00324A26">
                  <w:pPr>
                    <w:pStyle w:val="TableParagraph"/>
                    <w:spacing w:before="73"/>
                    <w:rPr>
                      <w:sz w:val="16"/>
                      <w:szCs w:val="16"/>
                    </w:rPr>
                  </w:pPr>
                  <w:proofErr w:type="spellStart"/>
                  <w:r w:rsidRPr="00E93010">
                    <w:rPr>
                      <w:sz w:val="16"/>
                      <w:szCs w:val="16"/>
                    </w:rPr>
                    <w:t>6,88E</w:t>
                  </w:r>
                  <w:proofErr w:type="spellEnd"/>
                  <w:r w:rsidRPr="00E93010">
                    <w:rPr>
                      <w:sz w:val="16"/>
                      <w:szCs w:val="16"/>
                    </w:rPr>
                    <w:t>-02</w:t>
                  </w:r>
                </w:p>
              </w:tc>
            </w:tr>
            <w:tr w:rsidR="0036588E" w:rsidRPr="00E93010" w14:paraId="10BEB7DA" w14:textId="77777777" w:rsidTr="00324A26">
              <w:trPr>
                <w:trHeight w:hRule="exact" w:val="310"/>
              </w:trPr>
              <w:tc>
                <w:tcPr>
                  <w:tcW w:w="778" w:type="dxa"/>
                  <w:vMerge/>
                </w:tcPr>
                <w:p w14:paraId="40C116D2" w14:textId="77777777" w:rsidR="0036588E" w:rsidRPr="00E93010" w:rsidRDefault="0036588E" w:rsidP="00324A26">
                  <w:pPr>
                    <w:rPr>
                      <w:rFonts w:ascii="Georgia" w:hAnsi="Georgia"/>
                      <w:sz w:val="16"/>
                      <w:szCs w:val="16"/>
                    </w:rPr>
                  </w:pPr>
                </w:p>
              </w:tc>
              <w:tc>
                <w:tcPr>
                  <w:tcW w:w="1275" w:type="dxa"/>
                </w:tcPr>
                <w:p w14:paraId="4A9552D3" w14:textId="77777777" w:rsidR="0036588E" w:rsidRPr="00E93010" w:rsidRDefault="0036588E" w:rsidP="00324A26">
                  <w:pPr>
                    <w:pStyle w:val="TableParagraph"/>
                    <w:spacing w:before="73"/>
                    <w:rPr>
                      <w:sz w:val="16"/>
                      <w:szCs w:val="16"/>
                    </w:rPr>
                  </w:pPr>
                  <w:proofErr w:type="spellStart"/>
                  <w:r w:rsidRPr="00E93010">
                    <w:rPr>
                      <w:sz w:val="16"/>
                      <w:szCs w:val="16"/>
                    </w:rPr>
                    <w:t>Naturgas</w:t>
                  </w:r>
                  <w:proofErr w:type="spellEnd"/>
                </w:p>
              </w:tc>
              <w:tc>
                <w:tcPr>
                  <w:tcW w:w="2761" w:type="dxa"/>
                </w:tcPr>
                <w:p w14:paraId="5D974F01" w14:textId="77777777" w:rsidR="0036588E" w:rsidRPr="00E93010" w:rsidRDefault="0036588E" w:rsidP="00324A26">
                  <w:pPr>
                    <w:pStyle w:val="TableParagraph"/>
                    <w:spacing w:before="73"/>
                    <w:rPr>
                      <w:sz w:val="16"/>
                      <w:szCs w:val="16"/>
                    </w:rPr>
                  </w:pPr>
                  <w:proofErr w:type="spellStart"/>
                  <w:r w:rsidRPr="00E93010">
                    <w:rPr>
                      <w:sz w:val="16"/>
                      <w:szCs w:val="16"/>
                    </w:rPr>
                    <w:t>1,05E</w:t>
                  </w:r>
                  <w:proofErr w:type="spellEnd"/>
                  <w:r w:rsidRPr="00E93010">
                    <w:rPr>
                      <w:sz w:val="16"/>
                      <w:szCs w:val="16"/>
                    </w:rPr>
                    <w:t>-01</w:t>
                  </w:r>
                </w:p>
              </w:tc>
            </w:tr>
            <w:tr w:rsidR="0036588E" w:rsidRPr="00E93010" w14:paraId="019590E7" w14:textId="77777777" w:rsidTr="00324A26">
              <w:trPr>
                <w:trHeight w:hRule="exact" w:val="310"/>
              </w:trPr>
              <w:tc>
                <w:tcPr>
                  <w:tcW w:w="778" w:type="dxa"/>
                  <w:vMerge w:val="restart"/>
                </w:tcPr>
                <w:p w14:paraId="7F9FDB8A" w14:textId="77777777" w:rsidR="0036588E" w:rsidRPr="00E93010" w:rsidRDefault="0036588E" w:rsidP="00324A26">
                  <w:pPr>
                    <w:pStyle w:val="TableParagraph"/>
                    <w:spacing w:before="73"/>
                    <w:rPr>
                      <w:sz w:val="16"/>
                      <w:szCs w:val="16"/>
                    </w:rPr>
                  </w:pPr>
                  <w:r w:rsidRPr="00E93010">
                    <w:rPr>
                      <w:sz w:val="16"/>
                      <w:szCs w:val="16"/>
                    </w:rPr>
                    <w:t>2040</w:t>
                  </w:r>
                </w:p>
              </w:tc>
              <w:tc>
                <w:tcPr>
                  <w:tcW w:w="1275" w:type="dxa"/>
                </w:tcPr>
                <w:p w14:paraId="32B649ED" w14:textId="77777777" w:rsidR="0036588E" w:rsidRPr="00E93010" w:rsidRDefault="0036588E" w:rsidP="00324A26">
                  <w:pPr>
                    <w:pStyle w:val="TableParagraph"/>
                    <w:spacing w:before="73"/>
                    <w:rPr>
                      <w:sz w:val="16"/>
                      <w:szCs w:val="16"/>
                    </w:rPr>
                  </w:pPr>
                  <w:r w:rsidRPr="00E93010">
                    <w:rPr>
                      <w:sz w:val="16"/>
                      <w:szCs w:val="16"/>
                    </w:rPr>
                    <w:t>El</w:t>
                  </w:r>
                </w:p>
              </w:tc>
              <w:tc>
                <w:tcPr>
                  <w:tcW w:w="2761" w:type="dxa"/>
                </w:tcPr>
                <w:p w14:paraId="163EC844" w14:textId="77777777" w:rsidR="0036588E" w:rsidRPr="00E93010" w:rsidRDefault="0036588E" w:rsidP="00324A26">
                  <w:pPr>
                    <w:pStyle w:val="TableParagraph"/>
                    <w:spacing w:before="73"/>
                    <w:rPr>
                      <w:sz w:val="16"/>
                      <w:szCs w:val="16"/>
                    </w:rPr>
                  </w:pPr>
                  <w:proofErr w:type="spellStart"/>
                  <w:r w:rsidRPr="00E93010">
                    <w:rPr>
                      <w:sz w:val="16"/>
                      <w:szCs w:val="16"/>
                    </w:rPr>
                    <w:t>4,03E</w:t>
                  </w:r>
                  <w:proofErr w:type="spellEnd"/>
                  <w:r w:rsidRPr="00E93010">
                    <w:rPr>
                      <w:sz w:val="16"/>
                      <w:szCs w:val="16"/>
                    </w:rPr>
                    <w:t>-02</w:t>
                  </w:r>
                </w:p>
              </w:tc>
            </w:tr>
            <w:tr w:rsidR="0036588E" w:rsidRPr="00E93010" w14:paraId="26DF0EB7" w14:textId="77777777" w:rsidTr="00324A26">
              <w:trPr>
                <w:trHeight w:hRule="exact" w:val="312"/>
              </w:trPr>
              <w:tc>
                <w:tcPr>
                  <w:tcW w:w="778" w:type="dxa"/>
                  <w:vMerge/>
                </w:tcPr>
                <w:p w14:paraId="61E4AA3C" w14:textId="77777777" w:rsidR="0036588E" w:rsidRPr="00E93010" w:rsidRDefault="0036588E" w:rsidP="00324A26">
                  <w:pPr>
                    <w:rPr>
                      <w:rFonts w:ascii="Georgia" w:hAnsi="Georgia"/>
                      <w:sz w:val="16"/>
                      <w:szCs w:val="16"/>
                    </w:rPr>
                  </w:pPr>
                </w:p>
              </w:tc>
              <w:tc>
                <w:tcPr>
                  <w:tcW w:w="1275" w:type="dxa"/>
                </w:tcPr>
                <w:p w14:paraId="1C63A21B" w14:textId="77777777" w:rsidR="0036588E" w:rsidRPr="00E93010" w:rsidRDefault="0036588E" w:rsidP="00324A26">
                  <w:pPr>
                    <w:pStyle w:val="TableParagraph"/>
                    <w:spacing w:before="76"/>
                    <w:rPr>
                      <w:sz w:val="16"/>
                      <w:szCs w:val="16"/>
                    </w:rPr>
                  </w:pPr>
                  <w:r w:rsidRPr="00E93010">
                    <w:rPr>
                      <w:sz w:val="16"/>
                      <w:szCs w:val="16"/>
                    </w:rPr>
                    <w:t>Fjernvarme</w:t>
                  </w:r>
                </w:p>
              </w:tc>
              <w:tc>
                <w:tcPr>
                  <w:tcW w:w="2761" w:type="dxa"/>
                </w:tcPr>
                <w:p w14:paraId="354EB0BD" w14:textId="77777777" w:rsidR="0036588E" w:rsidRPr="00E93010" w:rsidRDefault="0036588E" w:rsidP="00324A26">
                  <w:pPr>
                    <w:pStyle w:val="TableParagraph"/>
                    <w:spacing w:before="76"/>
                    <w:rPr>
                      <w:sz w:val="16"/>
                      <w:szCs w:val="16"/>
                    </w:rPr>
                  </w:pPr>
                  <w:proofErr w:type="spellStart"/>
                  <w:r w:rsidRPr="00E93010">
                    <w:rPr>
                      <w:sz w:val="16"/>
                      <w:szCs w:val="16"/>
                    </w:rPr>
                    <w:t>6,80E</w:t>
                  </w:r>
                  <w:proofErr w:type="spellEnd"/>
                  <w:r w:rsidRPr="00E93010">
                    <w:rPr>
                      <w:sz w:val="16"/>
                      <w:szCs w:val="16"/>
                    </w:rPr>
                    <w:t>-02</w:t>
                  </w:r>
                </w:p>
              </w:tc>
            </w:tr>
            <w:tr w:rsidR="0036588E" w:rsidRPr="00E93010" w14:paraId="2D57474E" w14:textId="77777777" w:rsidTr="00324A26">
              <w:trPr>
                <w:trHeight w:hRule="exact" w:val="310"/>
              </w:trPr>
              <w:tc>
                <w:tcPr>
                  <w:tcW w:w="778" w:type="dxa"/>
                  <w:vMerge/>
                </w:tcPr>
                <w:p w14:paraId="564443F7" w14:textId="77777777" w:rsidR="0036588E" w:rsidRPr="00E93010" w:rsidRDefault="0036588E" w:rsidP="00324A26">
                  <w:pPr>
                    <w:rPr>
                      <w:rFonts w:ascii="Georgia" w:hAnsi="Georgia"/>
                      <w:sz w:val="16"/>
                      <w:szCs w:val="16"/>
                    </w:rPr>
                  </w:pPr>
                </w:p>
              </w:tc>
              <w:tc>
                <w:tcPr>
                  <w:tcW w:w="1275" w:type="dxa"/>
                </w:tcPr>
                <w:p w14:paraId="13F0517F" w14:textId="77777777" w:rsidR="0036588E" w:rsidRPr="00E93010" w:rsidRDefault="0036588E" w:rsidP="00324A26">
                  <w:pPr>
                    <w:pStyle w:val="TableParagraph"/>
                    <w:spacing w:before="73"/>
                    <w:rPr>
                      <w:sz w:val="16"/>
                      <w:szCs w:val="16"/>
                    </w:rPr>
                  </w:pPr>
                  <w:proofErr w:type="spellStart"/>
                  <w:r w:rsidRPr="00E93010">
                    <w:rPr>
                      <w:sz w:val="16"/>
                      <w:szCs w:val="16"/>
                    </w:rPr>
                    <w:t>Naturgas</w:t>
                  </w:r>
                  <w:proofErr w:type="spellEnd"/>
                </w:p>
              </w:tc>
              <w:tc>
                <w:tcPr>
                  <w:tcW w:w="2761" w:type="dxa"/>
                </w:tcPr>
                <w:p w14:paraId="057324CC" w14:textId="77777777" w:rsidR="0036588E" w:rsidRPr="00E93010" w:rsidRDefault="0036588E" w:rsidP="00324A26">
                  <w:pPr>
                    <w:pStyle w:val="TableParagraph"/>
                    <w:spacing w:before="73"/>
                    <w:rPr>
                      <w:sz w:val="16"/>
                      <w:szCs w:val="16"/>
                    </w:rPr>
                  </w:pPr>
                  <w:proofErr w:type="spellStart"/>
                  <w:r w:rsidRPr="00E93010">
                    <w:rPr>
                      <w:sz w:val="16"/>
                      <w:szCs w:val="16"/>
                    </w:rPr>
                    <w:t>1,05E</w:t>
                  </w:r>
                  <w:proofErr w:type="spellEnd"/>
                  <w:r w:rsidRPr="00E93010">
                    <w:rPr>
                      <w:sz w:val="16"/>
                      <w:szCs w:val="16"/>
                    </w:rPr>
                    <w:t>-01</w:t>
                  </w:r>
                </w:p>
              </w:tc>
            </w:tr>
          </w:tbl>
          <w:p w14:paraId="085740B9" w14:textId="77777777" w:rsidR="0036588E" w:rsidRPr="00E93010" w:rsidRDefault="0036588E" w:rsidP="00324A26">
            <w:pPr>
              <w:rPr>
                <w:rFonts w:ascii="Georgia" w:hAnsi="Georgia"/>
                <w:sz w:val="16"/>
                <w:szCs w:val="16"/>
              </w:rPr>
            </w:pPr>
          </w:p>
        </w:tc>
        <w:tc>
          <w:tcPr>
            <w:tcW w:w="4536" w:type="dxa"/>
            <w:shd w:val="clear" w:color="auto" w:fill="E7E6E6" w:themeFill="background2"/>
          </w:tcPr>
          <w:p w14:paraId="165AB454" w14:textId="77777777" w:rsidR="0036588E" w:rsidRPr="00E93010" w:rsidRDefault="0036588E" w:rsidP="00324A26">
            <w:pPr>
              <w:rPr>
                <w:rFonts w:ascii="Georgia" w:hAnsi="Georgia"/>
                <w:sz w:val="16"/>
                <w:szCs w:val="16"/>
              </w:rPr>
            </w:pPr>
          </w:p>
        </w:tc>
        <w:tc>
          <w:tcPr>
            <w:tcW w:w="3815" w:type="dxa"/>
          </w:tcPr>
          <w:p w14:paraId="30C4BA0E" w14:textId="77777777" w:rsidR="0036588E" w:rsidRPr="00E93010" w:rsidRDefault="0036588E" w:rsidP="00324A26">
            <w:pPr>
              <w:rPr>
                <w:rFonts w:ascii="Georgia" w:hAnsi="Georgia"/>
                <w:sz w:val="16"/>
                <w:szCs w:val="16"/>
              </w:rPr>
            </w:pPr>
          </w:p>
        </w:tc>
        <w:tc>
          <w:tcPr>
            <w:tcW w:w="2989" w:type="dxa"/>
          </w:tcPr>
          <w:p w14:paraId="06228621" w14:textId="77777777" w:rsidR="0036588E" w:rsidRPr="00E93010" w:rsidRDefault="0036588E" w:rsidP="00324A26">
            <w:pPr>
              <w:rPr>
                <w:rFonts w:ascii="Georgia" w:hAnsi="Georgia"/>
                <w:sz w:val="16"/>
                <w:szCs w:val="16"/>
              </w:rPr>
            </w:pPr>
          </w:p>
        </w:tc>
      </w:tr>
    </w:tbl>
    <w:p w14:paraId="05FF48E4" w14:textId="77777777" w:rsidR="0036588E" w:rsidRDefault="0036588E"/>
    <w:sectPr w:rsidR="0036588E" w:rsidSect="0046297A">
      <w:headerReference w:type="default" r:id="rId8"/>
      <w:footerReference w:type="default" r:id="rId9"/>
      <w:pgSz w:w="16838" w:h="11906" w:orient="landscape"/>
      <w:pgMar w:top="1418" w:right="720" w:bottom="720" w:left="720" w:header="7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0EC1" w14:textId="77777777" w:rsidR="00F91789" w:rsidRDefault="00F91789" w:rsidP="001A74FE">
      <w:pPr>
        <w:spacing w:after="0" w:line="240" w:lineRule="auto"/>
      </w:pPr>
      <w:r>
        <w:separator/>
      </w:r>
    </w:p>
  </w:endnote>
  <w:endnote w:type="continuationSeparator" w:id="0">
    <w:p w14:paraId="402303D3" w14:textId="77777777" w:rsidR="00F91789" w:rsidRDefault="00F91789" w:rsidP="001A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83948"/>
      <w:docPartObj>
        <w:docPartGallery w:val="Page Numbers (Bottom of Page)"/>
        <w:docPartUnique/>
      </w:docPartObj>
    </w:sdtPr>
    <w:sdtContent>
      <w:p w14:paraId="56237E82" w14:textId="55BAAD15" w:rsidR="00132B0C" w:rsidRDefault="00132B0C">
        <w:pPr>
          <w:pStyle w:val="Sidefod"/>
          <w:jc w:val="right"/>
        </w:pPr>
        <w:r>
          <w:fldChar w:fldCharType="begin"/>
        </w:r>
        <w:r>
          <w:instrText>PAGE   \* MERGEFORMAT</w:instrText>
        </w:r>
        <w:r>
          <w:fldChar w:fldCharType="separate"/>
        </w:r>
        <w:r>
          <w:t>2</w:t>
        </w:r>
        <w:r>
          <w:fldChar w:fldCharType="end"/>
        </w:r>
      </w:p>
    </w:sdtContent>
  </w:sdt>
  <w:p w14:paraId="2FF8B071" w14:textId="1E26EB74" w:rsidR="001A74FE" w:rsidRDefault="001A74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C159" w14:textId="77777777" w:rsidR="00F91789" w:rsidRDefault="00F91789" w:rsidP="001A74FE">
      <w:pPr>
        <w:spacing w:after="0" w:line="240" w:lineRule="auto"/>
      </w:pPr>
      <w:r>
        <w:separator/>
      </w:r>
    </w:p>
  </w:footnote>
  <w:footnote w:type="continuationSeparator" w:id="0">
    <w:p w14:paraId="3BA1E945" w14:textId="77777777" w:rsidR="00F91789" w:rsidRDefault="00F91789" w:rsidP="001A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D067" w14:textId="532E79CD" w:rsidR="001A74FE" w:rsidRPr="007224B4" w:rsidRDefault="001A74FE">
    <w:pPr>
      <w:pStyle w:val="Sidehoved"/>
      <w:rPr>
        <w:b/>
        <w:bCs/>
        <w:lang w:val="da-DK"/>
      </w:rPr>
    </w:pPr>
    <w:r w:rsidRPr="007224B4">
      <w:rPr>
        <w:b/>
        <w:bCs/>
        <w:lang w:val="da-DK"/>
      </w:rPr>
      <w:t>Bemærkninger fra FRI ti</w:t>
    </w:r>
    <w:r w:rsidR="007224B4" w:rsidRPr="007224B4">
      <w:rPr>
        <w:b/>
        <w:bCs/>
        <w:lang w:val="da-DK"/>
      </w:rPr>
      <w:t xml:space="preserve">l ændringer i </w:t>
    </w:r>
    <w:proofErr w:type="spellStart"/>
    <w:r w:rsidR="007224B4" w:rsidRPr="007224B4">
      <w:rPr>
        <w:b/>
        <w:bCs/>
        <w:lang w:val="da-DK"/>
      </w:rPr>
      <w:t>BR18</w:t>
    </w:r>
    <w:proofErr w:type="spellEnd"/>
    <w:r w:rsidR="007224B4" w:rsidRPr="007224B4">
      <w:rPr>
        <w:b/>
        <w:bCs/>
        <w:lang w:val="da-DK"/>
      </w:rPr>
      <w:t xml:space="preserve"> for indførelse af klimakrav i byggeriet</w:t>
    </w:r>
  </w:p>
  <w:p w14:paraId="082D86C9" w14:textId="77777777" w:rsidR="001A74FE" w:rsidRPr="007224B4" w:rsidRDefault="001A74FE">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577"/>
    <w:multiLevelType w:val="hybridMultilevel"/>
    <w:tmpl w:val="8932DB80"/>
    <w:lvl w:ilvl="0" w:tplc="746E09D2">
      <w:start w:val="1"/>
      <w:numFmt w:val="decimal"/>
      <w:lvlText w:val="%1)"/>
      <w:lvlJc w:val="left"/>
      <w:pPr>
        <w:ind w:left="506" w:hanging="360"/>
        <w:jc w:val="left"/>
      </w:pPr>
      <w:rPr>
        <w:rFonts w:ascii="Georgia" w:eastAsia="Georgia" w:hAnsi="Georgia" w:cs="Georgia" w:hint="default"/>
        <w:w w:val="99"/>
        <w:sz w:val="20"/>
        <w:szCs w:val="20"/>
      </w:rPr>
    </w:lvl>
    <w:lvl w:ilvl="1" w:tplc="1C843AD6">
      <w:numFmt w:val="bullet"/>
      <w:lvlText w:val="•"/>
      <w:lvlJc w:val="left"/>
      <w:pPr>
        <w:ind w:left="1114" w:hanging="360"/>
      </w:pPr>
      <w:rPr>
        <w:rFonts w:hint="default"/>
      </w:rPr>
    </w:lvl>
    <w:lvl w:ilvl="2" w:tplc="7DF831B2">
      <w:numFmt w:val="bullet"/>
      <w:lvlText w:val="•"/>
      <w:lvlJc w:val="left"/>
      <w:pPr>
        <w:ind w:left="1729" w:hanging="360"/>
      </w:pPr>
      <w:rPr>
        <w:rFonts w:hint="default"/>
      </w:rPr>
    </w:lvl>
    <w:lvl w:ilvl="3" w:tplc="F3A00ABE">
      <w:numFmt w:val="bullet"/>
      <w:lvlText w:val="•"/>
      <w:lvlJc w:val="left"/>
      <w:pPr>
        <w:ind w:left="2344" w:hanging="360"/>
      </w:pPr>
      <w:rPr>
        <w:rFonts w:hint="default"/>
      </w:rPr>
    </w:lvl>
    <w:lvl w:ilvl="4" w:tplc="84D67206">
      <w:numFmt w:val="bullet"/>
      <w:lvlText w:val="•"/>
      <w:lvlJc w:val="left"/>
      <w:pPr>
        <w:ind w:left="2959" w:hanging="360"/>
      </w:pPr>
      <w:rPr>
        <w:rFonts w:hint="default"/>
      </w:rPr>
    </w:lvl>
    <w:lvl w:ilvl="5" w:tplc="D55E2E3A">
      <w:numFmt w:val="bullet"/>
      <w:lvlText w:val="•"/>
      <w:lvlJc w:val="left"/>
      <w:pPr>
        <w:ind w:left="3574" w:hanging="360"/>
      </w:pPr>
      <w:rPr>
        <w:rFonts w:hint="default"/>
      </w:rPr>
    </w:lvl>
    <w:lvl w:ilvl="6" w:tplc="AD58989E">
      <w:numFmt w:val="bullet"/>
      <w:lvlText w:val="•"/>
      <w:lvlJc w:val="left"/>
      <w:pPr>
        <w:ind w:left="4188" w:hanging="360"/>
      </w:pPr>
      <w:rPr>
        <w:rFonts w:hint="default"/>
      </w:rPr>
    </w:lvl>
    <w:lvl w:ilvl="7" w:tplc="7E5051E6">
      <w:numFmt w:val="bullet"/>
      <w:lvlText w:val="•"/>
      <w:lvlJc w:val="left"/>
      <w:pPr>
        <w:ind w:left="4803" w:hanging="360"/>
      </w:pPr>
      <w:rPr>
        <w:rFonts w:hint="default"/>
      </w:rPr>
    </w:lvl>
    <w:lvl w:ilvl="8" w:tplc="3F52A0E4">
      <w:numFmt w:val="bullet"/>
      <w:lvlText w:val="•"/>
      <w:lvlJc w:val="left"/>
      <w:pPr>
        <w:ind w:left="5418" w:hanging="360"/>
      </w:pPr>
      <w:rPr>
        <w:rFonts w:hint="default"/>
      </w:rPr>
    </w:lvl>
  </w:abstractNum>
  <w:abstractNum w:abstractNumId="1" w15:restartNumberingAfterBreak="0">
    <w:nsid w:val="2BF467D4"/>
    <w:multiLevelType w:val="hybridMultilevel"/>
    <w:tmpl w:val="020621FA"/>
    <w:lvl w:ilvl="0" w:tplc="D35287C6">
      <w:start w:val="1"/>
      <w:numFmt w:val="decimal"/>
      <w:lvlText w:val="%1)"/>
      <w:lvlJc w:val="left"/>
      <w:pPr>
        <w:ind w:left="100" w:hanging="209"/>
        <w:jc w:val="left"/>
      </w:pPr>
      <w:rPr>
        <w:rFonts w:ascii="Georgia" w:eastAsia="Georgia" w:hAnsi="Georgia" w:cs="Georgia" w:hint="default"/>
        <w:w w:val="99"/>
        <w:sz w:val="20"/>
        <w:szCs w:val="20"/>
      </w:rPr>
    </w:lvl>
    <w:lvl w:ilvl="1" w:tplc="2AB85558">
      <w:numFmt w:val="bullet"/>
      <w:lvlText w:val="•"/>
      <w:lvlJc w:val="left"/>
      <w:pPr>
        <w:ind w:left="754" w:hanging="209"/>
      </w:pPr>
      <w:rPr>
        <w:rFonts w:hint="default"/>
      </w:rPr>
    </w:lvl>
    <w:lvl w:ilvl="2" w:tplc="9BDA6DD6">
      <w:numFmt w:val="bullet"/>
      <w:lvlText w:val="•"/>
      <w:lvlJc w:val="left"/>
      <w:pPr>
        <w:ind w:left="1409" w:hanging="209"/>
      </w:pPr>
      <w:rPr>
        <w:rFonts w:hint="default"/>
      </w:rPr>
    </w:lvl>
    <w:lvl w:ilvl="3" w:tplc="356836BA">
      <w:numFmt w:val="bullet"/>
      <w:lvlText w:val="•"/>
      <w:lvlJc w:val="left"/>
      <w:pPr>
        <w:ind w:left="2064" w:hanging="209"/>
      </w:pPr>
      <w:rPr>
        <w:rFonts w:hint="default"/>
      </w:rPr>
    </w:lvl>
    <w:lvl w:ilvl="4" w:tplc="E37A5D7C">
      <w:numFmt w:val="bullet"/>
      <w:lvlText w:val="•"/>
      <w:lvlJc w:val="left"/>
      <w:pPr>
        <w:ind w:left="2719" w:hanging="209"/>
      </w:pPr>
      <w:rPr>
        <w:rFonts w:hint="default"/>
      </w:rPr>
    </w:lvl>
    <w:lvl w:ilvl="5" w:tplc="D01AF8C8">
      <w:numFmt w:val="bullet"/>
      <w:lvlText w:val="•"/>
      <w:lvlJc w:val="left"/>
      <w:pPr>
        <w:ind w:left="3374" w:hanging="209"/>
      </w:pPr>
      <w:rPr>
        <w:rFonts w:hint="default"/>
      </w:rPr>
    </w:lvl>
    <w:lvl w:ilvl="6" w:tplc="9A2CF39C">
      <w:numFmt w:val="bullet"/>
      <w:lvlText w:val="•"/>
      <w:lvlJc w:val="left"/>
      <w:pPr>
        <w:ind w:left="4028" w:hanging="209"/>
      </w:pPr>
      <w:rPr>
        <w:rFonts w:hint="default"/>
      </w:rPr>
    </w:lvl>
    <w:lvl w:ilvl="7" w:tplc="3DD4384A">
      <w:numFmt w:val="bullet"/>
      <w:lvlText w:val="•"/>
      <w:lvlJc w:val="left"/>
      <w:pPr>
        <w:ind w:left="4683" w:hanging="209"/>
      </w:pPr>
      <w:rPr>
        <w:rFonts w:hint="default"/>
      </w:rPr>
    </w:lvl>
    <w:lvl w:ilvl="8" w:tplc="C5549FFE">
      <w:numFmt w:val="bullet"/>
      <w:lvlText w:val="•"/>
      <w:lvlJc w:val="left"/>
      <w:pPr>
        <w:ind w:left="5338" w:hanging="209"/>
      </w:pPr>
      <w:rPr>
        <w:rFonts w:hint="default"/>
      </w:rPr>
    </w:lvl>
  </w:abstractNum>
  <w:abstractNum w:abstractNumId="2" w15:restartNumberingAfterBreak="0">
    <w:nsid w:val="3E3F24E0"/>
    <w:multiLevelType w:val="hybridMultilevel"/>
    <w:tmpl w:val="B6B275DA"/>
    <w:lvl w:ilvl="0" w:tplc="9F38BD60">
      <w:start w:val="1"/>
      <w:numFmt w:val="decimal"/>
      <w:lvlText w:val="%1)"/>
      <w:lvlJc w:val="left"/>
      <w:pPr>
        <w:ind w:left="309" w:hanging="209"/>
        <w:jc w:val="left"/>
      </w:pPr>
      <w:rPr>
        <w:rFonts w:ascii="Georgia" w:eastAsia="Georgia" w:hAnsi="Georgia" w:cs="Georgia" w:hint="default"/>
        <w:w w:val="99"/>
        <w:sz w:val="20"/>
        <w:szCs w:val="20"/>
      </w:rPr>
    </w:lvl>
    <w:lvl w:ilvl="1" w:tplc="A34644DE">
      <w:numFmt w:val="bullet"/>
      <w:lvlText w:val="•"/>
      <w:lvlJc w:val="left"/>
      <w:pPr>
        <w:ind w:left="934" w:hanging="209"/>
      </w:pPr>
      <w:rPr>
        <w:rFonts w:hint="default"/>
      </w:rPr>
    </w:lvl>
    <w:lvl w:ilvl="2" w:tplc="748E09EC">
      <w:numFmt w:val="bullet"/>
      <w:lvlText w:val="•"/>
      <w:lvlJc w:val="left"/>
      <w:pPr>
        <w:ind w:left="1569" w:hanging="209"/>
      </w:pPr>
      <w:rPr>
        <w:rFonts w:hint="default"/>
      </w:rPr>
    </w:lvl>
    <w:lvl w:ilvl="3" w:tplc="E26A7904">
      <w:numFmt w:val="bullet"/>
      <w:lvlText w:val="•"/>
      <w:lvlJc w:val="left"/>
      <w:pPr>
        <w:ind w:left="2204" w:hanging="209"/>
      </w:pPr>
      <w:rPr>
        <w:rFonts w:hint="default"/>
      </w:rPr>
    </w:lvl>
    <w:lvl w:ilvl="4" w:tplc="2ADE1456">
      <w:numFmt w:val="bullet"/>
      <w:lvlText w:val="•"/>
      <w:lvlJc w:val="left"/>
      <w:pPr>
        <w:ind w:left="2839" w:hanging="209"/>
      </w:pPr>
      <w:rPr>
        <w:rFonts w:hint="default"/>
      </w:rPr>
    </w:lvl>
    <w:lvl w:ilvl="5" w:tplc="AAA88DDC">
      <w:numFmt w:val="bullet"/>
      <w:lvlText w:val="•"/>
      <w:lvlJc w:val="left"/>
      <w:pPr>
        <w:ind w:left="3474" w:hanging="209"/>
      </w:pPr>
      <w:rPr>
        <w:rFonts w:hint="default"/>
      </w:rPr>
    </w:lvl>
    <w:lvl w:ilvl="6" w:tplc="91C6E042">
      <w:numFmt w:val="bullet"/>
      <w:lvlText w:val="•"/>
      <w:lvlJc w:val="left"/>
      <w:pPr>
        <w:ind w:left="4108" w:hanging="209"/>
      </w:pPr>
      <w:rPr>
        <w:rFonts w:hint="default"/>
      </w:rPr>
    </w:lvl>
    <w:lvl w:ilvl="7" w:tplc="F7D2EE8E">
      <w:numFmt w:val="bullet"/>
      <w:lvlText w:val="•"/>
      <w:lvlJc w:val="left"/>
      <w:pPr>
        <w:ind w:left="4743" w:hanging="209"/>
      </w:pPr>
      <w:rPr>
        <w:rFonts w:hint="default"/>
      </w:rPr>
    </w:lvl>
    <w:lvl w:ilvl="8" w:tplc="3E5259D2">
      <w:numFmt w:val="bullet"/>
      <w:lvlText w:val="•"/>
      <w:lvlJc w:val="left"/>
      <w:pPr>
        <w:ind w:left="5378" w:hanging="209"/>
      </w:pPr>
      <w:rPr>
        <w:rFonts w:hint="default"/>
      </w:rPr>
    </w:lvl>
  </w:abstractNum>
  <w:abstractNum w:abstractNumId="3" w15:restartNumberingAfterBreak="0">
    <w:nsid w:val="45187EC6"/>
    <w:multiLevelType w:val="hybridMultilevel"/>
    <w:tmpl w:val="2AA44C74"/>
    <w:lvl w:ilvl="0" w:tplc="DB6413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8734680"/>
    <w:multiLevelType w:val="hybridMultilevel"/>
    <w:tmpl w:val="BB7035AE"/>
    <w:lvl w:ilvl="0" w:tplc="E418EE52">
      <w:start w:val="2"/>
      <w:numFmt w:val="decimal"/>
      <w:lvlText w:val="%1)"/>
      <w:lvlJc w:val="left"/>
      <w:pPr>
        <w:ind w:left="820" w:hanging="360"/>
        <w:jc w:val="left"/>
      </w:pPr>
      <w:rPr>
        <w:rFonts w:ascii="Georgia" w:eastAsia="Georgia" w:hAnsi="Georgia" w:cs="Georgia" w:hint="default"/>
        <w:spacing w:val="-1"/>
        <w:w w:val="99"/>
        <w:sz w:val="20"/>
        <w:szCs w:val="20"/>
      </w:rPr>
    </w:lvl>
    <w:lvl w:ilvl="1" w:tplc="616269C2">
      <w:numFmt w:val="bullet"/>
      <w:lvlText w:val="•"/>
      <w:lvlJc w:val="left"/>
      <w:pPr>
        <w:ind w:left="1402" w:hanging="360"/>
      </w:pPr>
      <w:rPr>
        <w:rFonts w:hint="default"/>
      </w:rPr>
    </w:lvl>
    <w:lvl w:ilvl="2" w:tplc="D0EECCA6">
      <w:numFmt w:val="bullet"/>
      <w:lvlText w:val="•"/>
      <w:lvlJc w:val="left"/>
      <w:pPr>
        <w:ind w:left="1985" w:hanging="360"/>
      </w:pPr>
      <w:rPr>
        <w:rFonts w:hint="default"/>
      </w:rPr>
    </w:lvl>
    <w:lvl w:ilvl="3" w:tplc="A0660552">
      <w:numFmt w:val="bullet"/>
      <w:lvlText w:val="•"/>
      <w:lvlJc w:val="left"/>
      <w:pPr>
        <w:ind w:left="2568" w:hanging="360"/>
      </w:pPr>
      <w:rPr>
        <w:rFonts w:hint="default"/>
      </w:rPr>
    </w:lvl>
    <w:lvl w:ilvl="4" w:tplc="5C84A466">
      <w:numFmt w:val="bullet"/>
      <w:lvlText w:val="•"/>
      <w:lvlJc w:val="left"/>
      <w:pPr>
        <w:ind w:left="3151" w:hanging="360"/>
      </w:pPr>
      <w:rPr>
        <w:rFonts w:hint="default"/>
      </w:rPr>
    </w:lvl>
    <w:lvl w:ilvl="5" w:tplc="57C45102">
      <w:numFmt w:val="bullet"/>
      <w:lvlText w:val="•"/>
      <w:lvlJc w:val="left"/>
      <w:pPr>
        <w:ind w:left="3734" w:hanging="360"/>
      </w:pPr>
      <w:rPr>
        <w:rFonts w:hint="default"/>
      </w:rPr>
    </w:lvl>
    <w:lvl w:ilvl="6" w:tplc="114CFDD4">
      <w:numFmt w:val="bullet"/>
      <w:lvlText w:val="•"/>
      <w:lvlJc w:val="left"/>
      <w:pPr>
        <w:ind w:left="4316" w:hanging="360"/>
      </w:pPr>
      <w:rPr>
        <w:rFonts w:hint="default"/>
      </w:rPr>
    </w:lvl>
    <w:lvl w:ilvl="7" w:tplc="40DECE44">
      <w:numFmt w:val="bullet"/>
      <w:lvlText w:val="•"/>
      <w:lvlJc w:val="left"/>
      <w:pPr>
        <w:ind w:left="4899" w:hanging="360"/>
      </w:pPr>
      <w:rPr>
        <w:rFonts w:hint="default"/>
      </w:rPr>
    </w:lvl>
    <w:lvl w:ilvl="8" w:tplc="82707318">
      <w:numFmt w:val="bullet"/>
      <w:lvlText w:val="•"/>
      <w:lvlJc w:val="left"/>
      <w:pPr>
        <w:ind w:left="5482" w:hanging="360"/>
      </w:pPr>
      <w:rPr>
        <w:rFonts w:hint="default"/>
      </w:rPr>
    </w:lvl>
  </w:abstractNum>
  <w:num w:numId="1" w16cid:durableId="1490099733">
    <w:abstractNumId w:val="2"/>
  </w:num>
  <w:num w:numId="2" w16cid:durableId="460077946">
    <w:abstractNumId w:val="1"/>
  </w:num>
  <w:num w:numId="3" w16cid:durableId="2082826360">
    <w:abstractNumId w:val="0"/>
  </w:num>
  <w:num w:numId="4" w16cid:durableId="663171397">
    <w:abstractNumId w:val="3"/>
  </w:num>
  <w:num w:numId="5" w16cid:durableId="209655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06"/>
    <w:rsid w:val="000F0B59"/>
    <w:rsid w:val="000F280D"/>
    <w:rsid w:val="00132B0C"/>
    <w:rsid w:val="00185F06"/>
    <w:rsid w:val="001A74FE"/>
    <w:rsid w:val="00210ABC"/>
    <w:rsid w:val="002224C3"/>
    <w:rsid w:val="00245894"/>
    <w:rsid w:val="003231D1"/>
    <w:rsid w:val="00335502"/>
    <w:rsid w:val="0036588E"/>
    <w:rsid w:val="003A708F"/>
    <w:rsid w:val="0046297A"/>
    <w:rsid w:val="005A6D27"/>
    <w:rsid w:val="005D4A38"/>
    <w:rsid w:val="00647F71"/>
    <w:rsid w:val="007070D0"/>
    <w:rsid w:val="007224B4"/>
    <w:rsid w:val="0075094D"/>
    <w:rsid w:val="007F1338"/>
    <w:rsid w:val="008261F1"/>
    <w:rsid w:val="00830623"/>
    <w:rsid w:val="008B6529"/>
    <w:rsid w:val="009042B7"/>
    <w:rsid w:val="009E620A"/>
    <w:rsid w:val="009F7804"/>
    <w:rsid w:val="00A0014D"/>
    <w:rsid w:val="00B03299"/>
    <w:rsid w:val="00B1339C"/>
    <w:rsid w:val="00B44ECC"/>
    <w:rsid w:val="00C428AE"/>
    <w:rsid w:val="00C73711"/>
    <w:rsid w:val="00E93010"/>
    <w:rsid w:val="00F17FD2"/>
    <w:rsid w:val="00F917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C59B1"/>
  <w15:chartTrackingRefBased/>
  <w15:docId w15:val="{53C68053-BC82-43AA-9930-1E3308DE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85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85F06"/>
    <w:pPr>
      <w:widowControl w:val="0"/>
      <w:autoSpaceDE w:val="0"/>
      <w:autoSpaceDN w:val="0"/>
      <w:spacing w:after="0" w:line="240" w:lineRule="auto"/>
      <w:ind w:left="103"/>
    </w:pPr>
    <w:rPr>
      <w:rFonts w:ascii="Georgia" w:eastAsia="Georgia" w:hAnsi="Georgia" w:cs="Georgia"/>
      <w:lang w:val="en-US"/>
    </w:rPr>
  </w:style>
  <w:style w:type="table" w:customStyle="1" w:styleId="TableNormal">
    <w:name w:val="Table Normal"/>
    <w:uiPriority w:val="2"/>
    <w:semiHidden/>
    <w:unhideWhenUsed/>
    <w:qFormat/>
    <w:rsid w:val="00B133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B1339C"/>
    <w:pPr>
      <w:widowControl w:val="0"/>
      <w:autoSpaceDE w:val="0"/>
      <w:autoSpaceDN w:val="0"/>
      <w:spacing w:after="0" w:line="240" w:lineRule="auto"/>
    </w:pPr>
    <w:rPr>
      <w:rFonts w:ascii="Georgia" w:eastAsia="Georgia" w:hAnsi="Georgia" w:cs="Georgia"/>
      <w:sz w:val="20"/>
      <w:szCs w:val="20"/>
      <w:lang w:val="en-US"/>
    </w:rPr>
  </w:style>
  <w:style w:type="character" w:customStyle="1" w:styleId="BrdtekstTegn">
    <w:name w:val="Brødtekst Tegn"/>
    <w:basedOn w:val="Standardskrifttypeiafsnit"/>
    <w:link w:val="Brdtekst"/>
    <w:uiPriority w:val="1"/>
    <w:rsid w:val="00B1339C"/>
    <w:rPr>
      <w:rFonts w:ascii="Georgia" w:eastAsia="Georgia" w:hAnsi="Georgia" w:cs="Georgia"/>
      <w:sz w:val="20"/>
      <w:szCs w:val="20"/>
      <w:lang w:val="en-US"/>
    </w:rPr>
  </w:style>
  <w:style w:type="paragraph" w:styleId="Listeafsnit">
    <w:name w:val="List Paragraph"/>
    <w:basedOn w:val="Normal"/>
    <w:uiPriority w:val="34"/>
    <w:qFormat/>
    <w:rsid w:val="00B1339C"/>
    <w:pPr>
      <w:ind w:left="720"/>
      <w:contextualSpacing/>
    </w:pPr>
  </w:style>
  <w:style w:type="paragraph" w:styleId="Sidehoved">
    <w:name w:val="header"/>
    <w:basedOn w:val="Normal"/>
    <w:link w:val="SidehovedTegn"/>
    <w:uiPriority w:val="99"/>
    <w:unhideWhenUsed/>
    <w:rsid w:val="00B1339C"/>
    <w:pPr>
      <w:widowControl w:val="0"/>
      <w:tabs>
        <w:tab w:val="center" w:pos="4819"/>
        <w:tab w:val="right" w:pos="9638"/>
      </w:tabs>
      <w:autoSpaceDE w:val="0"/>
      <w:autoSpaceDN w:val="0"/>
      <w:spacing w:after="0" w:line="240" w:lineRule="auto"/>
    </w:pPr>
    <w:rPr>
      <w:rFonts w:ascii="Georgia" w:eastAsia="Georgia" w:hAnsi="Georgia" w:cs="Georgia"/>
      <w:lang w:val="en-US"/>
    </w:rPr>
  </w:style>
  <w:style w:type="character" w:customStyle="1" w:styleId="SidehovedTegn">
    <w:name w:val="Sidehoved Tegn"/>
    <w:basedOn w:val="Standardskrifttypeiafsnit"/>
    <w:link w:val="Sidehoved"/>
    <w:uiPriority w:val="99"/>
    <w:rsid w:val="00B1339C"/>
    <w:rPr>
      <w:rFonts w:ascii="Georgia" w:eastAsia="Georgia" w:hAnsi="Georgia" w:cs="Georgia"/>
      <w:lang w:val="en-US"/>
    </w:rPr>
  </w:style>
  <w:style w:type="paragraph" w:styleId="Sidefod">
    <w:name w:val="footer"/>
    <w:basedOn w:val="Normal"/>
    <w:link w:val="SidefodTegn"/>
    <w:uiPriority w:val="99"/>
    <w:unhideWhenUsed/>
    <w:rsid w:val="001A74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3814</Words>
  <Characters>23269</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Juul</dc:creator>
  <cp:keywords/>
  <dc:description/>
  <cp:lastModifiedBy>Majbritt Juul</cp:lastModifiedBy>
  <cp:revision>24</cp:revision>
  <dcterms:created xsi:type="dcterms:W3CDTF">2022-04-23T11:24:00Z</dcterms:created>
  <dcterms:modified xsi:type="dcterms:W3CDTF">2022-04-23T11:59:00Z</dcterms:modified>
</cp:coreProperties>
</file>